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727A7" w14:textId="1A22E4F6" w:rsidR="009452CC" w:rsidRDefault="009452CC" w:rsidP="00FD1B58">
      <w:pPr>
        <w:spacing w:after="0"/>
        <w:jc w:val="center"/>
        <w:rPr>
          <w:b/>
          <w:bCs/>
          <w:lang w:val="es-ES"/>
        </w:rPr>
      </w:pPr>
      <w:bookmarkStart w:id="0" w:name="_Hlk193448143"/>
      <w:r>
        <w:rPr>
          <w:noProof/>
        </w:rPr>
        <w:drawing>
          <wp:anchor distT="0" distB="0" distL="114300" distR="114300" simplePos="0" relativeHeight="251658240" behindDoc="0" locked="0" layoutInCell="1" allowOverlap="1" wp14:anchorId="07640DB7" wp14:editId="0DB69635">
            <wp:simplePos x="0" y="0"/>
            <wp:positionH relativeFrom="page">
              <wp:align>right</wp:align>
            </wp:positionH>
            <wp:positionV relativeFrom="paragraph">
              <wp:posOffset>-1518285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F8C139" w14:textId="77777777" w:rsidR="009452CC" w:rsidRDefault="009452CC" w:rsidP="00FD1B58">
      <w:pPr>
        <w:spacing w:after="0"/>
        <w:jc w:val="center"/>
        <w:rPr>
          <w:b/>
          <w:bCs/>
          <w:lang w:val="es-ES"/>
        </w:rPr>
      </w:pPr>
    </w:p>
    <w:p w14:paraId="5A01843A" w14:textId="77777777" w:rsidR="009452CC" w:rsidRDefault="009452CC" w:rsidP="00FD1B58">
      <w:pPr>
        <w:spacing w:after="0"/>
        <w:jc w:val="center"/>
        <w:rPr>
          <w:b/>
          <w:bCs/>
          <w:lang w:val="es-ES"/>
        </w:rPr>
      </w:pPr>
    </w:p>
    <w:p w14:paraId="6D7EFBA5" w14:textId="77777777" w:rsidR="009452CC" w:rsidRDefault="009452CC" w:rsidP="00FD1B58">
      <w:pPr>
        <w:spacing w:after="0"/>
        <w:jc w:val="center"/>
        <w:rPr>
          <w:b/>
          <w:bCs/>
          <w:lang w:val="es-ES"/>
        </w:rPr>
      </w:pPr>
    </w:p>
    <w:p w14:paraId="0DA46AC8" w14:textId="77777777" w:rsidR="009452CC" w:rsidRDefault="009452CC" w:rsidP="00FD1B58">
      <w:pPr>
        <w:spacing w:after="0"/>
        <w:jc w:val="center"/>
        <w:rPr>
          <w:b/>
          <w:bCs/>
          <w:lang w:val="es-ES"/>
        </w:rPr>
      </w:pPr>
    </w:p>
    <w:p w14:paraId="7E84B3BC" w14:textId="77777777" w:rsidR="009452CC" w:rsidRDefault="009452CC" w:rsidP="00FD1B58">
      <w:pPr>
        <w:spacing w:after="0"/>
        <w:jc w:val="center"/>
        <w:rPr>
          <w:b/>
          <w:bCs/>
          <w:lang w:val="es-ES"/>
        </w:rPr>
      </w:pPr>
    </w:p>
    <w:p w14:paraId="6FB85578" w14:textId="77777777" w:rsidR="009452CC" w:rsidRDefault="009452CC" w:rsidP="00FD1B58">
      <w:pPr>
        <w:spacing w:after="0"/>
        <w:jc w:val="center"/>
        <w:rPr>
          <w:b/>
          <w:bCs/>
          <w:lang w:val="es-ES"/>
        </w:rPr>
      </w:pPr>
    </w:p>
    <w:p w14:paraId="481630B0" w14:textId="77777777" w:rsidR="009452CC" w:rsidRDefault="009452CC" w:rsidP="00FD1B58">
      <w:pPr>
        <w:spacing w:after="0"/>
        <w:jc w:val="center"/>
        <w:rPr>
          <w:b/>
          <w:bCs/>
          <w:lang w:val="es-ES"/>
        </w:rPr>
      </w:pPr>
    </w:p>
    <w:p w14:paraId="143DBA2B" w14:textId="07F6979C" w:rsidR="009452CC" w:rsidRDefault="009452CC" w:rsidP="00FD1B58">
      <w:pPr>
        <w:spacing w:after="0"/>
        <w:jc w:val="center"/>
        <w:rPr>
          <w:b/>
          <w:bCs/>
          <w:lang w:val="es-ES"/>
        </w:rPr>
      </w:pPr>
    </w:p>
    <w:p w14:paraId="06E15986" w14:textId="77777777" w:rsidR="009452CC" w:rsidRDefault="009452CC" w:rsidP="00FD1B58">
      <w:pPr>
        <w:spacing w:after="0"/>
        <w:jc w:val="center"/>
        <w:rPr>
          <w:b/>
          <w:bCs/>
          <w:lang w:val="es-ES"/>
        </w:rPr>
      </w:pPr>
    </w:p>
    <w:p w14:paraId="7F6683AD" w14:textId="77777777" w:rsidR="009452CC" w:rsidRDefault="009452CC" w:rsidP="00FD1B58">
      <w:pPr>
        <w:spacing w:after="0"/>
        <w:jc w:val="center"/>
        <w:rPr>
          <w:b/>
          <w:bCs/>
          <w:lang w:val="es-ES"/>
        </w:rPr>
      </w:pPr>
    </w:p>
    <w:p w14:paraId="30CBACF5" w14:textId="77777777" w:rsidR="009452CC" w:rsidRDefault="009452CC" w:rsidP="00FD1B58">
      <w:pPr>
        <w:spacing w:after="0"/>
        <w:jc w:val="center"/>
        <w:rPr>
          <w:b/>
          <w:bCs/>
          <w:lang w:val="es-ES"/>
        </w:rPr>
      </w:pPr>
    </w:p>
    <w:p w14:paraId="59D9279D" w14:textId="77777777" w:rsidR="009452CC" w:rsidRDefault="009452CC" w:rsidP="00FD1B58">
      <w:pPr>
        <w:spacing w:after="0"/>
        <w:jc w:val="center"/>
        <w:rPr>
          <w:b/>
          <w:bCs/>
          <w:lang w:val="es-ES"/>
        </w:rPr>
      </w:pPr>
    </w:p>
    <w:p w14:paraId="554032EA" w14:textId="77777777" w:rsidR="009452CC" w:rsidRDefault="009452CC" w:rsidP="00FD1B58">
      <w:pPr>
        <w:spacing w:after="0"/>
        <w:jc w:val="center"/>
        <w:rPr>
          <w:b/>
          <w:bCs/>
          <w:lang w:val="es-ES"/>
        </w:rPr>
      </w:pPr>
    </w:p>
    <w:p w14:paraId="3D0F7E92" w14:textId="77777777" w:rsidR="009452CC" w:rsidRDefault="009452CC" w:rsidP="00FD1B58">
      <w:pPr>
        <w:spacing w:after="0"/>
        <w:jc w:val="center"/>
        <w:rPr>
          <w:b/>
          <w:bCs/>
          <w:lang w:val="es-ES"/>
        </w:rPr>
      </w:pPr>
    </w:p>
    <w:p w14:paraId="005BD7A4" w14:textId="77777777" w:rsidR="009452CC" w:rsidRDefault="009452CC" w:rsidP="00FD1B58">
      <w:pPr>
        <w:spacing w:after="0"/>
        <w:jc w:val="center"/>
        <w:rPr>
          <w:b/>
          <w:bCs/>
          <w:lang w:val="es-ES"/>
        </w:rPr>
      </w:pPr>
    </w:p>
    <w:p w14:paraId="7DDB11B0" w14:textId="77777777" w:rsidR="009452CC" w:rsidRDefault="009452CC" w:rsidP="00FD1B58">
      <w:pPr>
        <w:spacing w:after="0"/>
        <w:jc w:val="center"/>
        <w:rPr>
          <w:b/>
          <w:bCs/>
          <w:lang w:val="es-ES"/>
        </w:rPr>
      </w:pPr>
    </w:p>
    <w:p w14:paraId="0CC8A8D8" w14:textId="77777777" w:rsidR="009452CC" w:rsidRDefault="009452CC" w:rsidP="00FD1B58">
      <w:pPr>
        <w:spacing w:after="0"/>
        <w:jc w:val="center"/>
        <w:rPr>
          <w:b/>
          <w:bCs/>
          <w:lang w:val="es-ES"/>
        </w:rPr>
      </w:pPr>
    </w:p>
    <w:p w14:paraId="32C97225" w14:textId="77777777" w:rsidR="009452CC" w:rsidRDefault="009452CC" w:rsidP="00FD1B58">
      <w:pPr>
        <w:spacing w:after="0"/>
        <w:jc w:val="center"/>
        <w:rPr>
          <w:b/>
          <w:bCs/>
          <w:lang w:val="es-ES"/>
        </w:rPr>
      </w:pPr>
    </w:p>
    <w:p w14:paraId="514A03A6" w14:textId="77777777" w:rsidR="009452CC" w:rsidRDefault="009452CC" w:rsidP="00FD1B58">
      <w:pPr>
        <w:spacing w:after="0"/>
        <w:jc w:val="center"/>
        <w:rPr>
          <w:b/>
          <w:bCs/>
          <w:lang w:val="es-ES"/>
        </w:rPr>
      </w:pPr>
    </w:p>
    <w:p w14:paraId="4759F73B" w14:textId="77777777" w:rsidR="009452CC" w:rsidRDefault="009452CC" w:rsidP="00FD1B58">
      <w:pPr>
        <w:spacing w:after="0"/>
        <w:jc w:val="center"/>
        <w:rPr>
          <w:b/>
          <w:bCs/>
          <w:lang w:val="es-ES"/>
        </w:rPr>
      </w:pPr>
    </w:p>
    <w:p w14:paraId="65FCF6ED" w14:textId="77777777" w:rsidR="009452CC" w:rsidRDefault="009452CC" w:rsidP="00FD1B58">
      <w:pPr>
        <w:spacing w:after="0"/>
        <w:jc w:val="center"/>
        <w:rPr>
          <w:b/>
          <w:bCs/>
          <w:lang w:val="es-ES"/>
        </w:rPr>
      </w:pPr>
    </w:p>
    <w:p w14:paraId="0A1EE89A" w14:textId="77777777" w:rsidR="009452CC" w:rsidRDefault="009452CC" w:rsidP="00FD1B58">
      <w:pPr>
        <w:spacing w:after="0"/>
        <w:jc w:val="center"/>
        <w:rPr>
          <w:b/>
          <w:bCs/>
          <w:lang w:val="es-ES"/>
        </w:rPr>
      </w:pPr>
    </w:p>
    <w:p w14:paraId="23FE5F37" w14:textId="77777777" w:rsidR="009452CC" w:rsidRDefault="009452CC" w:rsidP="00FD1B58">
      <w:pPr>
        <w:spacing w:after="0"/>
        <w:jc w:val="center"/>
        <w:rPr>
          <w:b/>
          <w:bCs/>
          <w:lang w:val="es-ES"/>
        </w:rPr>
      </w:pPr>
    </w:p>
    <w:p w14:paraId="01F60928" w14:textId="77777777" w:rsidR="009452CC" w:rsidRDefault="009452CC" w:rsidP="00FD1B58">
      <w:pPr>
        <w:spacing w:after="0"/>
        <w:jc w:val="center"/>
        <w:rPr>
          <w:b/>
          <w:bCs/>
          <w:lang w:val="es-ES"/>
        </w:rPr>
      </w:pPr>
    </w:p>
    <w:p w14:paraId="1CC55D06" w14:textId="77777777" w:rsidR="009452CC" w:rsidRDefault="009452CC" w:rsidP="00FD1B58">
      <w:pPr>
        <w:spacing w:after="0"/>
        <w:jc w:val="center"/>
        <w:rPr>
          <w:b/>
          <w:bCs/>
          <w:lang w:val="es-ES"/>
        </w:rPr>
      </w:pPr>
    </w:p>
    <w:p w14:paraId="26D85143" w14:textId="77777777" w:rsidR="009452CC" w:rsidRDefault="009452CC" w:rsidP="00FD1B58">
      <w:pPr>
        <w:spacing w:after="0"/>
        <w:jc w:val="center"/>
        <w:rPr>
          <w:b/>
          <w:bCs/>
          <w:lang w:val="es-ES"/>
        </w:rPr>
      </w:pPr>
    </w:p>
    <w:p w14:paraId="766BF6B9" w14:textId="77777777" w:rsidR="009452CC" w:rsidRDefault="009452CC" w:rsidP="00FD1B58">
      <w:pPr>
        <w:spacing w:after="0"/>
        <w:jc w:val="center"/>
        <w:rPr>
          <w:b/>
          <w:bCs/>
          <w:lang w:val="es-ES"/>
        </w:rPr>
      </w:pPr>
    </w:p>
    <w:p w14:paraId="3BA66100" w14:textId="77777777" w:rsidR="009452CC" w:rsidRDefault="009452CC" w:rsidP="00FD1B58">
      <w:pPr>
        <w:spacing w:after="0"/>
        <w:jc w:val="center"/>
        <w:rPr>
          <w:b/>
          <w:bCs/>
          <w:lang w:val="es-ES"/>
        </w:rPr>
      </w:pPr>
    </w:p>
    <w:p w14:paraId="61BD22BB" w14:textId="77777777" w:rsidR="009452CC" w:rsidRDefault="009452CC" w:rsidP="00FD1B58">
      <w:pPr>
        <w:spacing w:after="0"/>
        <w:jc w:val="center"/>
        <w:rPr>
          <w:b/>
          <w:bCs/>
          <w:lang w:val="es-ES"/>
        </w:rPr>
      </w:pPr>
    </w:p>
    <w:p w14:paraId="4C51BD94" w14:textId="77777777" w:rsidR="009452CC" w:rsidRDefault="009452CC" w:rsidP="00FD1B58">
      <w:pPr>
        <w:spacing w:after="0"/>
        <w:jc w:val="center"/>
        <w:rPr>
          <w:b/>
          <w:bCs/>
          <w:lang w:val="es-ES"/>
        </w:rPr>
      </w:pPr>
    </w:p>
    <w:p w14:paraId="714D7F99" w14:textId="77777777" w:rsidR="009452CC" w:rsidRDefault="009452CC" w:rsidP="00FD1B58">
      <w:pPr>
        <w:spacing w:after="0"/>
        <w:jc w:val="center"/>
        <w:rPr>
          <w:b/>
          <w:bCs/>
          <w:lang w:val="es-ES"/>
        </w:rPr>
      </w:pPr>
    </w:p>
    <w:p w14:paraId="3A01C0C4" w14:textId="77777777" w:rsidR="009452CC" w:rsidRDefault="009452CC" w:rsidP="00FD1B58">
      <w:pPr>
        <w:spacing w:after="0"/>
        <w:jc w:val="center"/>
        <w:rPr>
          <w:b/>
          <w:bCs/>
          <w:lang w:val="es-ES"/>
        </w:rPr>
      </w:pPr>
    </w:p>
    <w:p w14:paraId="54F5016A" w14:textId="77777777" w:rsidR="009452CC" w:rsidRDefault="009452CC" w:rsidP="00FD1B58">
      <w:pPr>
        <w:spacing w:after="0"/>
        <w:jc w:val="center"/>
        <w:rPr>
          <w:b/>
          <w:bCs/>
          <w:lang w:val="es-ES"/>
        </w:rPr>
      </w:pPr>
    </w:p>
    <w:p w14:paraId="1141D254" w14:textId="77777777" w:rsidR="009452CC" w:rsidRDefault="009452CC" w:rsidP="00FD1B58">
      <w:pPr>
        <w:spacing w:after="0"/>
        <w:jc w:val="center"/>
        <w:rPr>
          <w:b/>
          <w:bCs/>
          <w:lang w:val="es-ES"/>
        </w:rPr>
      </w:pPr>
    </w:p>
    <w:p w14:paraId="0A09A541" w14:textId="77777777" w:rsidR="009452CC" w:rsidRDefault="009452CC" w:rsidP="00FD1B58">
      <w:pPr>
        <w:spacing w:after="0"/>
        <w:jc w:val="center"/>
        <w:rPr>
          <w:b/>
          <w:bCs/>
          <w:lang w:val="es-ES"/>
        </w:rPr>
      </w:pPr>
    </w:p>
    <w:p w14:paraId="64550786" w14:textId="77777777" w:rsidR="009452CC" w:rsidRDefault="009452CC" w:rsidP="00FD1B58">
      <w:pPr>
        <w:spacing w:after="0"/>
        <w:jc w:val="center"/>
        <w:rPr>
          <w:b/>
          <w:bCs/>
          <w:lang w:val="es-ES"/>
        </w:rPr>
      </w:pPr>
    </w:p>
    <w:p w14:paraId="210DA155" w14:textId="77777777" w:rsidR="009452CC" w:rsidRDefault="009452CC" w:rsidP="00FD1B58">
      <w:pPr>
        <w:spacing w:after="0"/>
        <w:jc w:val="center"/>
        <w:rPr>
          <w:b/>
          <w:bCs/>
          <w:lang w:val="es-ES"/>
        </w:rPr>
      </w:pPr>
    </w:p>
    <w:p w14:paraId="60542204" w14:textId="77777777" w:rsidR="009452CC" w:rsidRDefault="009452CC" w:rsidP="00FD1B58">
      <w:pPr>
        <w:spacing w:after="0"/>
        <w:jc w:val="center"/>
        <w:rPr>
          <w:b/>
          <w:bCs/>
          <w:lang w:val="es-ES"/>
        </w:rPr>
      </w:pPr>
    </w:p>
    <w:p w14:paraId="36458221" w14:textId="307A700E" w:rsidR="00667B33" w:rsidRPr="00EB0252" w:rsidRDefault="000B77F0" w:rsidP="0014775A">
      <w:pPr>
        <w:spacing w:after="0"/>
        <w:jc w:val="center"/>
        <w:rPr>
          <w:rFonts w:ascii="Arial" w:hAnsi="Arial" w:cs="Arial"/>
          <w:b/>
          <w:bCs/>
          <w:lang w:val="es-ES"/>
        </w:rPr>
      </w:pPr>
      <w:r w:rsidRPr="00EB0252">
        <w:rPr>
          <w:rFonts w:ascii="Arial" w:hAnsi="Arial" w:cs="Arial"/>
          <w:b/>
          <w:bCs/>
          <w:lang w:val="es-ES"/>
        </w:rPr>
        <w:t>Guía para el fortalecimiento de</w:t>
      </w:r>
      <w:r w:rsidR="00FD1B58" w:rsidRPr="00EB0252">
        <w:rPr>
          <w:rFonts w:ascii="Arial" w:hAnsi="Arial" w:cs="Arial"/>
          <w:b/>
          <w:bCs/>
          <w:lang w:val="es-ES"/>
        </w:rPr>
        <w:t xml:space="preserve"> </w:t>
      </w:r>
      <w:r w:rsidRPr="00EB0252">
        <w:rPr>
          <w:rFonts w:ascii="Arial" w:hAnsi="Arial" w:cs="Arial"/>
          <w:b/>
          <w:bCs/>
          <w:lang w:val="es-ES"/>
        </w:rPr>
        <w:t xml:space="preserve">aprendizajes </w:t>
      </w:r>
      <w:r w:rsidR="00FD1B58" w:rsidRPr="00EB0252">
        <w:rPr>
          <w:rFonts w:ascii="Arial" w:hAnsi="Arial" w:cs="Arial"/>
          <w:b/>
          <w:bCs/>
          <w:lang w:val="es-ES"/>
        </w:rPr>
        <w:t xml:space="preserve">con menor nivel de desempeño </w:t>
      </w:r>
      <w:r w:rsidR="00577638" w:rsidRPr="00EB0252">
        <w:rPr>
          <w:rFonts w:ascii="Arial" w:hAnsi="Arial" w:cs="Arial"/>
          <w:b/>
          <w:bCs/>
          <w:lang w:val="es-ES"/>
        </w:rPr>
        <w:t xml:space="preserve">según resultados de las </w:t>
      </w:r>
      <w:r w:rsidR="009D2F90" w:rsidRPr="00EB0252">
        <w:rPr>
          <w:rFonts w:ascii="Arial" w:hAnsi="Arial" w:cs="Arial"/>
          <w:b/>
          <w:bCs/>
          <w:lang w:val="es-ES"/>
        </w:rPr>
        <w:t>PNE</w:t>
      </w:r>
      <w:r w:rsidR="00577638" w:rsidRPr="00EB0252">
        <w:rPr>
          <w:rFonts w:ascii="Arial" w:hAnsi="Arial" w:cs="Arial"/>
          <w:b/>
          <w:bCs/>
          <w:lang w:val="es-ES"/>
        </w:rPr>
        <w:t xml:space="preserve"> diagnóstica</w:t>
      </w:r>
      <w:r w:rsidR="009D2F90" w:rsidRPr="00EB0252">
        <w:rPr>
          <w:rFonts w:ascii="Arial" w:hAnsi="Arial" w:cs="Arial"/>
          <w:b/>
          <w:bCs/>
          <w:lang w:val="es-ES"/>
        </w:rPr>
        <w:t>s</w:t>
      </w:r>
    </w:p>
    <w:tbl>
      <w:tblPr>
        <w:tblStyle w:val="Tablaconcuadrcula"/>
        <w:tblW w:w="10490" w:type="dxa"/>
        <w:tblInd w:w="-856" w:type="dxa"/>
        <w:tblLook w:val="04A0" w:firstRow="1" w:lastRow="0" w:firstColumn="1" w:lastColumn="0" w:noHBand="0" w:noVBand="1"/>
      </w:tblPr>
      <w:tblGrid>
        <w:gridCol w:w="3885"/>
        <w:gridCol w:w="2916"/>
        <w:gridCol w:w="3689"/>
      </w:tblGrid>
      <w:tr w:rsidR="007D06AA" w:rsidRPr="00EB0252" w14:paraId="2AF97313" w14:textId="77777777" w:rsidTr="009F62CF">
        <w:tc>
          <w:tcPr>
            <w:tcW w:w="10490" w:type="dxa"/>
            <w:gridSpan w:val="3"/>
          </w:tcPr>
          <w:p w14:paraId="6043FACD" w14:textId="0EC52D51" w:rsidR="007D06AA" w:rsidRPr="009650F0" w:rsidRDefault="007D06AA" w:rsidP="008D64D1">
            <w:pPr>
              <w:jc w:val="center"/>
              <w:rPr>
                <w:rFonts w:cstheme="minorHAnsi"/>
                <w:b/>
                <w:bCs/>
                <w:lang w:val="es-ES"/>
              </w:rPr>
            </w:pPr>
            <w:r w:rsidRPr="009650F0">
              <w:rPr>
                <w:rFonts w:cstheme="minorHAnsi"/>
                <w:b/>
                <w:bCs/>
                <w:lang w:val="es-ES"/>
              </w:rPr>
              <w:lastRenderedPageBreak/>
              <w:t>Datos generales</w:t>
            </w:r>
          </w:p>
        </w:tc>
      </w:tr>
      <w:tr w:rsidR="009D2F90" w:rsidRPr="00EB0252" w14:paraId="7692DC25" w14:textId="77777777" w:rsidTr="009F62CF">
        <w:tc>
          <w:tcPr>
            <w:tcW w:w="3885" w:type="dxa"/>
          </w:tcPr>
          <w:p w14:paraId="0D981CE8" w14:textId="203958B1" w:rsidR="009D2F90" w:rsidRPr="009650F0" w:rsidRDefault="009D2F90" w:rsidP="003D4638">
            <w:pPr>
              <w:rPr>
                <w:rFonts w:cstheme="minorHAnsi"/>
              </w:rPr>
            </w:pPr>
            <w:r w:rsidRPr="009650F0">
              <w:rPr>
                <w:rFonts w:cstheme="minorHAnsi"/>
              </w:rPr>
              <w:t>• Asignatura</w:t>
            </w:r>
            <w:r w:rsidR="0014775A" w:rsidRPr="009650F0">
              <w:rPr>
                <w:rFonts w:cstheme="minorHAnsi"/>
              </w:rPr>
              <w:t>: Química</w:t>
            </w:r>
          </w:p>
          <w:p w14:paraId="5D6A6EBC" w14:textId="77777777" w:rsidR="009D2F90" w:rsidRPr="009650F0" w:rsidRDefault="009D2F90" w:rsidP="003D4638">
            <w:pPr>
              <w:rPr>
                <w:rFonts w:cstheme="minorHAnsi"/>
              </w:rPr>
            </w:pPr>
          </w:p>
        </w:tc>
        <w:tc>
          <w:tcPr>
            <w:tcW w:w="2916" w:type="dxa"/>
          </w:tcPr>
          <w:p w14:paraId="191F01BA" w14:textId="51A9E57A" w:rsidR="009D2F90" w:rsidRPr="009650F0" w:rsidRDefault="009D2F90" w:rsidP="003D4638">
            <w:pPr>
              <w:rPr>
                <w:rFonts w:cstheme="minorHAnsi"/>
              </w:rPr>
            </w:pPr>
            <w:r w:rsidRPr="009650F0">
              <w:rPr>
                <w:rFonts w:cstheme="minorHAnsi"/>
              </w:rPr>
              <w:t>• Nivel educativo</w:t>
            </w:r>
            <w:r w:rsidR="00166DEC" w:rsidRPr="009650F0">
              <w:rPr>
                <w:rFonts w:cstheme="minorHAnsi"/>
              </w:rPr>
              <w:t>: Décimo</w:t>
            </w:r>
          </w:p>
        </w:tc>
        <w:tc>
          <w:tcPr>
            <w:tcW w:w="3689" w:type="dxa"/>
          </w:tcPr>
          <w:p w14:paraId="3EC06942" w14:textId="298F3180" w:rsidR="009D2F90" w:rsidRPr="009650F0" w:rsidRDefault="009D2F90" w:rsidP="002A576E">
            <w:pPr>
              <w:rPr>
                <w:rFonts w:cstheme="minorHAnsi"/>
              </w:rPr>
            </w:pPr>
            <w:r w:rsidRPr="009650F0">
              <w:rPr>
                <w:rFonts w:cstheme="minorHAnsi"/>
              </w:rPr>
              <w:t>• Tiempo estimado</w:t>
            </w:r>
            <w:r w:rsidR="001034F1">
              <w:rPr>
                <w:rFonts w:cstheme="minorHAnsi"/>
              </w:rPr>
              <w:t>: 8 lecciones</w:t>
            </w:r>
          </w:p>
        </w:tc>
      </w:tr>
      <w:tr w:rsidR="007D06AA" w:rsidRPr="00EB0252" w14:paraId="59111FC7" w14:textId="77777777" w:rsidTr="009F62CF">
        <w:tc>
          <w:tcPr>
            <w:tcW w:w="10490" w:type="dxa"/>
            <w:gridSpan w:val="3"/>
          </w:tcPr>
          <w:p w14:paraId="7B14691B" w14:textId="2D0554D5" w:rsidR="007D06AA" w:rsidRPr="009650F0" w:rsidRDefault="007D06AA" w:rsidP="0044288F">
            <w:pPr>
              <w:jc w:val="center"/>
              <w:rPr>
                <w:rFonts w:cstheme="minorHAnsi"/>
                <w:b/>
                <w:bCs/>
                <w:lang w:val="es-ES"/>
              </w:rPr>
            </w:pPr>
            <w:r w:rsidRPr="009650F0">
              <w:rPr>
                <w:rFonts w:cstheme="minorHAnsi"/>
                <w:b/>
                <w:bCs/>
                <w:lang w:val="es-ES"/>
              </w:rPr>
              <w:t>Propósito</w:t>
            </w:r>
          </w:p>
        </w:tc>
      </w:tr>
      <w:tr w:rsidR="007D06AA" w:rsidRPr="008017D7" w14:paraId="027FFC40" w14:textId="77777777" w:rsidTr="009F62CF">
        <w:tc>
          <w:tcPr>
            <w:tcW w:w="10490" w:type="dxa"/>
            <w:gridSpan w:val="3"/>
          </w:tcPr>
          <w:p w14:paraId="00FCEF96" w14:textId="74D20630" w:rsidR="00FC0A2B" w:rsidRPr="008017D7" w:rsidRDefault="008017D7" w:rsidP="008017D7">
            <w:pPr>
              <w:spacing w:line="276" w:lineRule="auto"/>
              <w:jc w:val="both"/>
              <w:rPr>
                <w:rFonts w:cstheme="minorHAnsi"/>
                <w:lang w:val="es-ES"/>
              </w:rPr>
            </w:pPr>
            <w:r w:rsidRPr="008017D7">
              <w:rPr>
                <w:rFonts w:cstheme="minorHAnsi"/>
              </w:rPr>
              <w:t>Comprende las reglas de nomenclatura según los sistemas Stock y estequiométrico para nombrar diferentes tipos de compuestos.</w:t>
            </w:r>
          </w:p>
        </w:tc>
      </w:tr>
      <w:tr w:rsidR="007D06AA" w:rsidRPr="00EB0252" w14:paraId="3AC063FB" w14:textId="77777777" w:rsidTr="009F62CF">
        <w:tc>
          <w:tcPr>
            <w:tcW w:w="10490" w:type="dxa"/>
            <w:gridSpan w:val="3"/>
          </w:tcPr>
          <w:p w14:paraId="02FCE3EB" w14:textId="371530D8" w:rsidR="0044288F" w:rsidRPr="009650F0" w:rsidRDefault="0044288F" w:rsidP="0044288F">
            <w:pPr>
              <w:jc w:val="center"/>
              <w:rPr>
                <w:rFonts w:cstheme="minorHAnsi"/>
                <w:b/>
                <w:bCs/>
                <w:lang w:val="es-ES"/>
              </w:rPr>
            </w:pPr>
            <w:r w:rsidRPr="009650F0">
              <w:rPr>
                <w:rFonts w:cstheme="minorHAnsi"/>
                <w:b/>
                <w:bCs/>
                <w:lang w:val="es-ES"/>
              </w:rPr>
              <w:t>Metodología por desarrollar</w:t>
            </w:r>
          </w:p>
        </w:tc>
      </w:tr>
      <w:tr w:rsidR="007D06AA" w:rsidRPr="00EB0252" w14:paraId="006A42D1" w14:textId="77777777" w:rsidTr="009F62CF">
        <w:tc>
          <w:tcPr>
            <w:tcW w:w="10490" w:type="dxa"/>
            <w:gridSpan w:val="3"/>
          </w:tcPr>
          <w:tbl>
            <w:tblPr>
              <w:tblW w:w="10230" w:type="dxa"/>
              <w:tblBorders>
                <w:top w:val="single" w:sz="6" w:space="0" w:color="CBD5E0"/>
                <w:left w:val="single" w:sz="6" w:space="0" w:color="CBD5E0"/>
                <w:bottom w:val="single" w:sz="6" w:space="0" w:color="CBD5E0"/>
                <w:right w:val="single" w:sz="6" w:space="0" w:color="CBD5E0"/>
                <w:insideH w:val="single" w:sz="6" w:space="0" w:color="CBD5E0"/>
                <w:insideV w:val="single" w:sz="6" w:space="0" w:color="CBD5E0"/>
              </w:tblBorders>
              <w:tblLayout w:type="fixed"/>
              <w:tblLook w:val="0600" w:firstRow="0" w:lastRow="0" w:firstColumn="0" w:lastColumn="0" w:noHBand="1" w:noVBand="1"/>
            </w:tblPr>
            <w:tblGrid>
              <w:gridCol w:w="1835"/>
              <w:gridCol w:w="8395"/>
            </w:tblGrid>
            <w:tr w:rsidR="009F62CF" w:rsidRPr="00063904" w14:paraId="516F793A" w14:textId="77777777" w:rsidTr="009F62CF">
              <w:trPr>
                <w:tblHeader/>
              </w:trPr>
              <w:tc>
                <w:tcPr>
                  <w:tcW w:w="1835" w:type="dxa"/>
                  <w:tcBorders>
                    <w:top w:val="single" w:sz="6" w:space="0" w:color="CBD5E0"/>
                    <w:left w:val="single" w:sz="6" w:space="0" w:color="CBD5E0"/>
                    <w:bottom w:val="single" w:sz="6" w:space="0" w:color="CBD5E0"/>
                    <w:right w:val="single" w:sz="6" w:space="0" w:color="CBD5E0"/>
                  </w:tcBorders>
                  <w:shd w:val="clear" w:color="auto" w:fill="EDF2F7"/>
                  <w:tcMar>
                    <w:top w:w="150" w:type="dxa"/>
                    <w:left w:w="150" w:type="dxa"/>
                    <w:bottom w:w="150" w:type="dxa"/>
                    <w:right w:w="150" w:type="dxa"/>
                  </w:tcMar>
                </w:tcPr>
                <w:p w14:paraId="4882002E" w14:textId="77777777" w:rsidR="009F62CF" w:rsidRPr="00063904" w:rsidRDefault="009F62CF" w:rsidP="009F62CF">
                  <w:pPr>
                    <w:pBdr>
                      <w:top w:val="nil"/>
                      <w:left w:val="nil"/>
                      <w:bottom w:val="nil"/>
                      <w:right w:val="nil"/>
                      <w:between w:val="nil"/>
                    </w:pBdr>
                    <w:spacing w:before="150" w:after="150" w:line="300" w:lineRule="auto"/>
                    <w:rPr>
                      <w:b/>
                      <w:bCs/>
                    </w:rPr>
                  </w:pPr>
                  <w:r>
                    <w:rPr>
                      <w:b/>
                      <w:bCs/>
                    </w:rPr>
                    <w:t>Etapa</w:t>
                  </w:r>
                  <w:r w:rsidRPr="00063904">
                    <w:rPr>
                      <w:b/>
                      <w:bCs/>
                    </w:rPr>
                    <w:t xml:space="preserve"> de </w:t>
                  </w:r>
                  <w:r>
                    <w:rPr>
                      <w:b/>
                      <w:bCs/>
                    </w:rPr>
                    <w:t>la metodología indagatoria</w:t>
                  </w:r>
                </w:p>
              </w:tc>
              <w:tc>
                <w:tcPr>
                  <w:tcW w:w="8395" w:type="dxa"/>
                  <w:tcBorders>
                    <w:top w:val="single" w:sz="6" w:space="0" w:color="CBD5E0"/>
                    <w:left w:val="single" w:sz="6" w:space="0" w:color="CBD5E0"/>
                    <w:bottom w:val="single" w:sz="6" w:space="0" w:color="CBD5E0"/>
                    <w:right w:val="single" w:sz="6" w:space="0" w:color="CBD5E0"/>
                  </w:tcBorders>
                  <w:shd w:val="clear" w:color="auto" w:fill="EDF2F7"/>
                  <w:tcMar>
                    <w:top w:w="150" w:type="dxa"/>
                    <w:left w:w="150" w:type="dxa"/>
                    <w:bottom w:w="150" w:type="dxa"/>
                    <w:right w:w="150" w:type="dxa"/>
                  </w:tcMar>
                </w:tcPr>
                <w:p w14:paraId="3E4DCBD0" w14:textId="77777777" w:rsidR="009F62CF" w:rsidRPr="00063904" w:rsidRDefault="009F62CF" w:rsidP="009F62CF">
                  <w:pPr>
                    <w:pBdr>
                      <w:top w:val="nil"/>
                      <w:left w:val="nil"/>
                      <w:bottom w:val="nil"/>
                      <w:right w:val="nil"/>
                      <w:between w:val="nil"/>
                    </w:pBdr>
                    <w:spacing w:before="150" w:after="150" w:line="300" w:lineRule="auto"/>
                    <w:rPr>
                      <w:b/>
                      <w:bCs/>
                    </w:rPr>
                  </w:pPr>
                  <w:r w:rsidRPr="00063904">
                    <w:rPr>
                      <w:b/>
                      <w:bCs/>
                    </w:rPr>
                    <w:t>Estrategias</w:t>
                  </w:r>
                  <w:r>
                    <w:rPr>
                      <w:b/>
                      <w:bCs/>
                    </w:rPr>
                    <w:t xml:space="preserve"> de mediación</w:t>
                  </w:r>
                </w:p>
                <w:p w14:paraId="4990C201" w14:textId="77777777" w:rsidR="009F62CF" w:rsidRPr="00063904" w:rsidRDefault="009F62CF" w:rsidP="009F62CF">
                  <w:pPr>
                    <w:pBdr>
                      <w:top w:val="nil"/>
                      <w:left w:val="nil"/>
                      <w:bottom w:val="nil"/>
                      <w:right w:val="nil"/>
                      <w:between w:val="nil"/>
                    </w:pBdr>
                  </w:pPr>
                  <w:r w:rsidRPr="00063904">
                    <w:t xml:space="preserve"> </w:t>
                  </w:r>
                </w:p>
              </w:tc>
            </w:tr>
            <w:tr w:rsidR="009F62CF" w:rsidRPr="00063904" w14:paraId="02CF2BFC" w14:textId="77777777" w:rsidTr="009F62CF">
              <w:tc>
                <w:tcPr>
                  <w:tcW w:w="1835"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3C8A903F" w14:textId="77777777" w:rsidR="009F62CF" w:rsidRPr="00063904" w:rsidRDefault="009F62CF" w:rsidP="009F62CF">
                  <w:pPr>
                    <w:pBdr>
                      <w:top w:val="nil"/>
                      <w:left w:val="nil"/>
                      <w:bottom w:val="nil"/>
                      <w:right w:val="nil"/>
                      <w:between w:val="nil"/>
                    </w:pBdr>
                    <w:spacing w:before="150" w:after="150" w:line="300" w:lineRule="auto"/>
                    <w:rPr>
                      <w:b/>
                      <w:bCs/>
                    </w:rPr>
                  </w:pPr>
                  <w:r w:rsidRPr="00063904">
                    <w:rPr>
                      <w:b/>
                      <w:bCs/>
                    </w:rPr>
                    <w:t>Focalización</w:t>
                  </w:r>
                </w:p>
              </w:tc>
              <w:tc>
                <w:tcPr>
                  <w:tcW w:w="8395"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2ACC8320" w14:textId="77777777" w:rsidR="009F62CF" w:rsidRPr="00063904" w:rsidRDefault="009F62CF" w:rsidP="009F62CF">
                  <w:pPr>
                    <w:pBdr>
                      <w:top w:val="nil"/>
                      <w:left w:val="nil"/>
                      <w:bottom w:val="nil"/>
                      <w:right w:val="nil"/>
                      <w:between w:val="nil"/>
                    </w:pBdr>
                    <w:spacing w:after="0" w:line="276" w:lineRule="auto"/>
                    <w:jc w:val="both"/>
                  </w:pPr>
                  <w:r>
                    <w:t xml:space="preserve">La persona </w:t>
                  </w:r>
                  <w:r w:rsidRPr="00063904">
                    <w:t>docente exhibe frascos de reactivos domésticos con etiquetas comerciales e informativas (como el bicarbonato de sodio o el óxido de hierro) junto con sus fórmulas químicas correspondientes. Plantea la pregunta generadora: ¿Por qué es críticamente peligroso para la salud y la seguridad comunitaria confundir nombres químicos similares en la industria o el hogar? ¿Cuál es la función regulatoria universal de sistemas estandarizados como el sistema Stock y el sistema Estequiométrico?</w:t>
                  </w:r>
                </w:p>
              </w:tc>
            </w:tr>
            <w:tr w:rsidR="009F62CF" w:rsidRPr="00063904" w14:paraId="5FF68C51" w14:textId="77777777" w:rsidTr="009F62CF">
              <w:tc>
                <w:tcPr>
                  <w:tcW w:w="1835"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60D70F5A" w14:textId="77777777" w:rsidR="009F62CF" w:rsidRPr="00063904" w:rsidRDefault="009F62CF" w:rsidP="009F62CF">
                  <w:pPr>
                    <w:pBdr>
                      <w:top w:val="nil"/>
                      <w:left w:val="nil"/>
                      <w:bottom w:val="nil"/>
                      <w:right w:val="nil"/>
                      <w:between w:val="nil"/>
                    </w:pBdr>
                    <w:spacing w:before="150" w:after="150" w:line="300" w:lineRule="auto"/>
                    <w:rPr>
                      <w:b/>
                      <w:bCs/>
                    </w:rPr>
                  </w:pPr>
                  <w:r w:rsidRPr="00063904">
                    <w:rPr>
                      <w:b/>
                      <w:bCs/>
                    </w:rPr>
                    <w:t>Exploración</w:t>
                  </w:r>
                </w:p>
              </w:tc>
              <w:tc>
                <w:tcPr>
                  <w:tcW w:w="8395"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3574E15D" w14:textId="2BDAEEBC" w:rsidR="009F62CF" w:rsidRPr="00063904" w:rsidRDefault="009F62CF" w:rsidP="009F62CF">
                  <w:pPr>
                    <w:pBdr>
                      <w:top w:val="nil"/>
                      <w:left w:val="nil"/>
                      <w:bottom w:val="nil"/>
                      <w:right w:val="nil"/>
                      <w:between w:val="nil"/>
                    </w:pBdr>
                    <w:spacing w:after="0" w:line="276" w:lineRule="auto"/>
                    <w:jc w:val="both"/>
                  </w:pPr>
                  <w:r w:rsidRPr="00063904">
                    <w:t>Apoyados en recursos digitales oficiales Clasificación de Compuestos Binarios</w:t>
                  </w:r>
                  <w:r w:rsidR="001E6BCD">
                    <w:t xml:space="preserve">: </w:t>
                  </w:r>
                  <w:hyperlink r:id="rId8" w:history="1">
                    <w:r w:rsidR="001E6BCD" w:rsidRPr="001E6BCD">
                      <w:rPr>
                        <w:rStyle w:val="Hipervnculo"/>
                      </w:rPr>
                      <w:t>Clasificación compuestos binarios | Ministerio de Educación Pública</w:t>
                    </w:r>
                  </w:hyperlink>
                  <w:r w:rsidRPr="00063904">
                    <w:t xml:space="preserve">, </w:t>
                  </w:r>
                  <w:r>
                    <w:t xml:space="preserve">la persona </w:t>
                  </w:r>
                  <w:r w:rsidRPr="00063904">
                    <w:t>docente implementa una dinámica lúdica interactiva: asigna una ficha de elemento químico individual con su respectivo estado de oxidación a cada estudiante. Los estudiantes interactúan socialmente en el aula para combinarse y formar compuestos inorgánicos estables de carácter binario, ternario y cuaternario (óxidos, hidróxidos, hidrácidos, oxácidos y sales), registrando sistemáticamente las fórmulas empíricas obtenidas en sus cuadernos de notas.</w:t>
                  </w:r>
                </w:p>
              </w:tc>
            </w:tr>
            <w:tr w:rsidR="009F62CF" w:rsidRPr="00063904" w14:paraId="3FB2AC23" w14:textId="77777777" w:rsidTr="009F62CF">
              <w:tc>
                <w:tcPr>
                  <w:tcW w:w="1835"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1071EFF9" w14:textId="77777777" w:rsidR="009F62CF" w:rsidRPr="00063904" w:rsidRDefault="009F62CF" w:rsidP="009F62CF">
                  <w:pPr>
                    <w:pBdr>
                      <w:top w:val="nil"/>
                      <w:left w:val="nil"/>
                      <w:bottom w:val="nil"/>
                      <w:right w:val="nil"/>
                      <w:between w:val="nil"/>
                    </w:pBdr>
                    <w:spacing w:before="150" w:after="150" w:line="300" w:lineRule="auto"/>
                    <w:rPr>
                      <w:b/>
                      <w:bCs/>
                    </w:rPr>
                  </w:pPr>
                  <w:r w:rsidRPr="00063904">
                    <w:rPr>
                      <w:b/>
                      <w:bCs/>
                    </w:rPr>
                    <w:t>Reflexión y Contrastación</w:t>
                  </w:r>
                </w:p>
              </w:tc>
              <w:tc>
                <w:tcPr>
                  <w:tcW w:w="8395"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7E0FD030" w14:textId="77777777" w:rsidR="009F62CF" w:rsidRPr="00063904" w:rsidRDefault="009F62CF" w:rsidP="009F62CF">
                  <w:pPr>
                    <w:pBdr>
                      <w:top w:val="nil"/>
                      <w:left w:val="nil"/>
                      <w:bottom w:val="nil"/>
                      <w:right w:val="nil"/>
                      <w:between w:val="nil"/>
                    </w:pBdr>
                    <w:spacing w:after="0" w:line="276" w:lineRule="auto"/>
                    <w:jc w:val="both"/>
                  </w:pPr>
                  <w:r w:rsidRPr="00063904">
                    <w:t>Los estudiantes estructuran de manera colaborativa un collage explicativo o mapa conceptual sintético con materiales de desecho para dar respuesta formal a las preguntas: ¿Qué es la nomenclatura química? ¿Cuáles criterios diferencian estructuralmente la asignación de nombres bajo el sistema Stock (uso de números romanos para estados de oxidación) frente al sistema Estequiométrico o Sistemático (uso de prefijos numerales griegos)? Se contrastan las producciones de los subgrupos con las reglas vigentes publicadas por la IUPAC.</w:t>
                  </w:r>
                </w:p>
              </w:tc>
            </w:tr>
            <w:tr w:rsidR="009F62CF" w:rsidRPr="00063904" w14:paraId="5391399C" w14:textId="77777777" w:rsidTr="009F62CF">
              <w:tc>
                <w:tcPr>
                  <w:tcW w:w="1835"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4482875E" w14:textId="77777777" w:rsidR="009F62CF" w:rsidRPr="00063904" w:rsidRDefault="009F62CF" w:rsidP="009F62CF">
                  <w:pPr>
                    <w:pBdr>
                      <w:top w:val="nil"/>
                      <w:left w:val="nil"/>
                      <w:bottom w:val="nil"/>
                      <w:right w:val="nil"/>
                      <w:between w:val="nil"/>
                    </w:pBdr>
                    <w:spacing w:before="150" w:after="150" w:line="300" w:lineRule="auto"/>
                    <w:rPr>
                      <w:b/>
                      <w:bCs/>
                    </w:rPr>
                  </w:pPr>
                  <w:r w:rsidRPr="00063904">
                    <w:rPr>
                      <w:b/>
                      <w:bCs/>
                    </w:rPr>
                    <w:t>Aplicación</w:t>
                  </w:r>
                </w:p>
              </w:tc>
              <w:tc>
                <w:tcPr>
                  <w:tcW w:w="8395"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5E8FF405" w14:textId="77777777" w:rsidR="009F62CF" w:rsidRPr="00063904" w:rsidRDefault="009F62CF" w:rsidP="009F62CF">
                  <w:pPr>
                    <w:pBdr>
                      <w:top w:val="nil"/>
                      <w:left w:val="nil"/>
                      <w:bottom w:val="nil"/>
                      <w:right w:val="nil"/>
                      <w:between w:val="nil"/>
                    </w:pBdr>
                    <w:spacing w:after="120" w:line="276" w:lineRule="auto"/>
                    <w:jc w:val="both"/>
                  </w:pPr>
                  <w:r w:rsidRPr="00063904">
                    <w:t xml:space="preserve">Los estudiantes diseñan y ejecutan colectivamente una obra de teatro cómica de breve duración ("La Gran Unión de los Elementos"), donde escenifican las interacciones </w:t>
                  </w:r>
                  <w:r w:rsidRPr="00063904">
                    <w:lastRenderedPageBreak/>
                    <w:t>normativas y las reglas del lenguaje químico inorgánico requeridas para nombrar correctamente los compuestos presentes en la cotidianidad agrícola, medicinal e industrial de la comunidad.</w:t>
                  </w:r>
                </w:p>
              </w:tc>
            </w:tr>
          </w:tbl>
          <w:p w14:paraId="01C868D4" w14:textId="255AD041" w:rsidR="007D06AA" w:rsidRPr="009650F0" w:rsidRDefault="007D06AA" w:rsidP="009A5158">
            <w:pPr>
              <w:rPr>
                <w:rFonts w:cstheme="minorHAnsi"/>
              </w:rPr>
            </w:pPr>
          </w:p>
        </w:tc>
      </w:tr>
      <w:tr w:rsidR="007D06AA" w:rsidRPr="00EB0252" w14:paraId="21FD4199" w14:textId="77777777" w:rsidTr="009F62CF">
        <w:tc>
          <w:tcPr>
            <w:tcW w:w="10490" w:type="dxa"/>
            <w:gridSpan w:val="3"/>
          </w:tcPr>
          <w:p w14:paraId="782441CD" w14:textId="7B1FC61E" w:rsidR="007D06AA" w:rsidRPr="009650F0" w:rsidRDefault="0044288F" w:rsidP="0044288F">
            <w:pPr>
              <w:jc w:val="center"/>
              <w:rPr>
                <w:rFonts w:cstheme="minorHAnsi"/>
                <w:b/>
                <w:bCs/>
                <w:lang w:val="es-ES"/>
              </w:rPr>
            </w:pPr>
            <w:r w:rsidRPr="009650F0">
              <w:rPr>
                <w:rFonts w:cstheme="minorHAnsi"/>
                <w:b/>
                <w:bCs/>
                <w:lang w:val="es-ES"/>
              </w:rPr>
              <w:lastRenderedPageBreak/>
              <w:t>Descripción del r</w:t>
            </w:r>
            <w:r w:rsidR="007D06AA" w:rsidRPr="009650F0">
              <w:rPr>
                <w:rFonts w:cstheme="minorHAnsi"/>
                <w:b/>
                <w:bCs/>
                <w:lang w:val="es-ES"/>
              </w:rPr>
              <w:t>ecurso por utilizar</w:t>
            </w:r>
          </w:p>
        </w:tc>
      </w:tr>
      <w:tr w:rsidR="009650F0" w:rsidRPr="00EB0252" w14:paraId="27073E8D" w14:textId="77777777" w:rsidTr="009F62CF">
        <w:tc>
          <w:tcPr>
            <w:tcW w:w="10490" w:type="dxa"/>
            <w:gridSpan w:val="3"/>
          </w:tcPr>
          <w:p w14:paraId="155CFBA0" w14:textId="77777777" w:rsidR="00BE7E3E" w:rsidRPr="00BE7E3E" w:rsidRDefault="00BE7E3E" w:rsidP="00BE7E3E">
            <w:pPr>
              <w:spacing w:line="360" w:lineRule="auto"/>
              <w:jc w:val="both"/>
              <w:rPr>
                <w:rFonts w:cstheme="minorHAnsi"/>
              </w:rPr>
            </w:pPr>
            <w:r w:rsidRPr="00BE7E3E">
              <w:rPr>
                <w:rFonts w:cstheme="minorHAnsi"/>
              </w:rPr>
              <w:t>El recurso consiste en un sistema integrado de identificación visual, gamificación estructural y representación comunitaria, diseñado para guiar a la persona estudiante en el aprendizaje normativo de las reglas de la IUPAC para nombrar compuestos inorgánicos binarios, ternarios y cuaternarios (óxidos, hidróxidos, hidrácidos, oxácidos y sales). Su propósito fundamental es concientizar sobre la seguridad química industrial y residencial, previniendo riesgos mortales para la salud mediante la correcta diferenciación de fórmulas empíricas y nombres sistemáticos.</w:t>
            </w:r>
          </w:p>
          <w:p w14:paraId="2B2DE2D2" w14:textId="77777777" w:rsidR="00BE7E3E" w:rsidRPr="00BE7E3E" w:rsidRDefault="00BE7E3E" w:rsidP="00BE7E3E">
            <w:pPr>
              <w:numPr>
                <w:ilvl w:val="0"/>
                <w:numId w:val="5"/>
              </w:numPr>
              <w:spacing w:line="360" w:lineRule="auto"/>
              <w:jc w:val="both"/>
              <w:rPr>
                <w:rFonts w:cstheme="minorHAnsi"/>
              </w:rPr>
            </w:pPr>
            <w:r w:rsidRPr="00BE7E3E">
              <w:rPr>
                <w:rFonts w:cstheme="minorHAnsi"/>
                <w:b/>
                <w:bCs/>
              </w:rPr>
              <w:t>Nombre del recurso:</w:t>
            </w:r>
            <w:r w:rsidRPr="00BE7E3E">
              <w:rPr>
                <w:rFonts w:cstheme="minorHAnsi"/>
              </w:rPr>
              <w:t xml:space="preserve"> Guía de Reactivos Domésticos, Fichas de Interacción de Estados de Oxidación y el Entorno Digital de Clasificación.</w:t>
            </w:r>
          </w:p>
          <w:p w14:paraId="1A6366E3" w14:textId="77777777" w:rsidR="00BE7E3E" w:rsidRPr="00BE7E3E" w:rsidRDefault="00BE7E3E" w:rsidP="00BE7E3E">
            <w:pPr>
              <w:numPr>
                <w:ilvl w:val="0"/>
                <w:numId w:val="5"/>
              </w:numPr>
              <w:spacing w:line="360" w:lineRule="auto"/>
              <w:jc w:val="both"/>
              <w:rPr>
                <w:rFonts w:cstheme="minorHAnsi"/>
              </w:rPr>
            </w:pPr>
            <w:r w:rsidRPr="00BE7E3E">
              <w:rPr>
                <w:rFonts w:cstheme="minorHAnsi"/>
                <w:b/>
                <w:bCs/>
              </w:rPr>
              <w:t>¿Dónde se ubica y cómo funciona?:</w:t>
            </w:r>
          </w:p>
          <w:p w14:paraId="726EC8B6" w14:textId="77777777" w:rsidR="00BE7E3E" w:rsidRPr="00BE7E3E" w:rsidRDefault="00BE7E3E" w:rsidP="00BE7E3E">
            <w:pPr>
              <w:numPr>
                <w:ilvl w:val="1"/>
                <w:numId w:val="5"/>
              </w:numPr>
              <w:spacing w:line="360" w:lineRule="auto"/>
              <w:jc w:val="both"/>
              <w:rPr>
                <w:rFonts w:cstheme="minorHAnsi"/>
              </w:rPr>
            </w:pPr>
            <w:r w:rsidRPr="00BE7E3E">
              <w:rPr>
                <w:rFonts w:cstheme="minorHAnsi"/>
                <w:b/>
                <w:bCs/>
              </w:rPr>
              <w:t>Ubicación física:</w:t>
            </w:r>
            <w:r w:rsidRPr="00BE7E3E">
              <w:rPr>
                <w:rFonts w:cstheme="minorHAnsi"/>
              </w:rPr>
              <w:t xml:space="preserve"> Se ejecuta en el aula empleando frascos reales de reactivos de uso diario (como el bicarbonato de sodio y el óxido de hierro), fichas independientes de elementos químicos con sus respectivos estados de oxidación y materiales de desecho limpios para la construcción de mapas conceptuales y collages.</w:t>
            </w:r>
          </w:p>
          <w:p w14:paraId="0DF28C29" w14:textId="77777777" w:rsidR="001E6BCD" w:rsidRPr="001E6BCD" w:rsidRDefault="00BE7E3E" w:rsidP="001E6BCD">
            <w:pPr>
              <w:numPr>
                <w:ilvl w:val="1"/>
                <w:numId w:val="5"/>
              </w:numPr>
              <w:spacing w:line="360" w:lineRule="auto"/>
              <w:jc w:val="both"/>
              <w:rPr>
                <w:rFonts w:cstheme="minorHAnsi"/>
                <w:b/>
                <w:bCs/>
              </w:rPr>
            </w:pPr>
            <w:r w:rsidRPr="00BE7E3E">
              <w:rPr>
                <w:rFonts w:cstheme="minorHAnsi"/>
                <w:b/>
                <w:bCs/>
              </w:rPr>
              <w:t>Ubicación digital:</w:t>
            </w:r>
            <w:r w:rsidRPr="00BE7E3E">
              <w:rPr>
                <w:rFonts w:cstheme="minorHAnsi"/>
              </w:rPr>
              <w:t xml:space="preserve"> El componente interactivo se encuentra alojado en los recursos digitales oficiales del Ministerio de Educación Pública (MEP), bajo el nombre de </w:t>
            </w:r>
            <w:r w:rsidRPr="00A028FA">
              <w:rPr>
                <w:rFonts w:cstheme="minorHAnsi"/>
              </w:rPr>
              <w:t>Clasificación de Compuestos Binarios</w:t>
            </w:r>
            <w:r w:rsidR="001E6BCD">
              <w:rPr>
                <w:rFonts w:cstheme="minorHAnsi"/>
              </w:rPr>
              <w:t xml:space="preserve">: </w:t>
            </w:r>
            <w:hyperlink r:id="rId9" w:history="1">
              <w:r w:rsidR="001E6BCD" w:rsidRPr="001E6BCD">
                <w:rPr>
                  <w:rStyle w:val="Hipervnculo"/>
                  <w:rFonts w:cstheme="minorHAnsi"/>
                </w:rPr>
                <w:t>Clasificación compuestos binarios | Ministerio de Educación Pública</w:t>
              </w:r>
            </w:hyperlink>
            <w:r w:rsidRPr="00A028FA">
              <w:rPr>
                <w:rFonts w:cstheme="minorHAnsi"/>
              </w:rPr>
              <w:t>.</w:t>
            </w:r>
          </w:p>
          <w:p w14:paraId="4AED3220" w14:textId="582F1911" w:rsidR="00BE7E3E" w:rsidRPr="00BE7E3E" w:rsidRDefault="00A028FA" w:rsidP="001E6BCD">
            <w:pPr>
              <w:spacing w:line="360" w:lineRule="auto"/>
              <w:jc w:val="both"/>
              <w:rPr>
                <w:rFonts w:cstheme="minorHAnsi"/>
                <w:b/>
                <w:bCs/>
              </w:rPr>
            </w:pPr>
            <w:r>
              <w:rPr>
                <w:rFonts w:cstheme="minorHAnsi"/>
                <w:b/>
                <w:bCs/>
              </w:rPr>
              <w:t>¿</w:t>
            </w:r>
            <w:r w:rsidR="00BE7E3E" w:rsidRPr="00BE7E3E">
              <w:rPr>
                <w:rFonts w:cstheme="minorHAnsi"/>
                <w:b/>
                <w:bCs/>
              </w:rPr>
              <w:t>En qué contexto educativo</w:t>
            </w:r>
            <w:r w:rsidR="001E6BCD">
              <w:rPr>
                <w:rFonts w:cstheme="minorHAnsi"/>
                <w:b/>
                <w:bCs/>
              </w:rPr>
              <w:t>?</w:t>
            </w:r>
          </w:p>
          <w:p w14:paraId="0C13DD36" w14:textId="77777777" w:rsidR="00F969F4" w:rsidRDefault="00BE7E3E" w:rsidP="00BE7E3E">
            <w:pPr>
              <w:spacing w:line="360" w:lineRule="auto"/>
              <w:jc w:val="both"/>
              <w:rPr>
                <w:rFonts w:cstheme="minorHAnsi"/>
              </w:rPr>
            </w:pPr>
            <w:r w:rsidRPr="00BE7E3E">
              <w:rPr>
                <w:rFonts w:cstheme="minorHAnsi"/>
              </w:rPr>
              <w:t>Para garantizar la equidad y la adaptabilidad a las realidades de conectividad de los diferentes centros educativos del país, las actividades se desglosan de la siguiente manera:</w:t>
            </w:r>
          </w:p>
          <w:p w14:paraId="5C282CDC" w14:textId="77777777" w:rsidR="00BE7E3E" w:rsidRPr="00BE7E3E" w:rsidRDefault="00BE7E3E" w:rsidP="00BE7E3E">
            <w:pPr>
              <w:numPr>
                <w:ilvl w:val="0"/>
                <w:numId w:val="6"/>
              </w:numPr>
              <w:spacing w:line="360" w:lineRule="auto"/>
              <w:jc w:val="both"/>
              <w:rPr>
                <w:rFonts w:cstheme="minorHAnsi"/>
              </w:rPr>
            </w:pPr>
            <w:r w:rsidRPr="00BE7E3E">
              <w:rPr>
                <w:rFonts w:cstheme="minorHAnsi"/>
                <w:b/>
                <w:bCs/>
              </w:rPr>
              <w:t>Actividad sin apoyo de la tecnología:</w:t>
            </w:r>
            <w:r w:rsidRPr="00BE7E3E">
              <w:rPr>
                <w:rFonts w:cstheme="minorHAnsi"/>
              </w:rPr>
              <w:t xml:space="preserve"> La persona docente exhibe físicamente en el escritorio los frascos de reactivos domésticos con sus etiquetas comerciales e informativas (bicarbonato de sodio y óxido de hierro). Los estudiantes analizan visualmente las fórmulas químicas escritas en los envases y anotan en sus cuadernos de notas sus hipótesis sobre los peligros de confundir nombres similares. Posteriormente, juegan cooperativamente moviéndose en el aula física para combinar sus fichas impresas de elementos y estados de oxidación, anotando manualmente las fórmulas empíricas de óxidos, hidróxidos, hidrácidos, oxácidos y sales obtenidas.</w:t>
            </w:r>
          </w:p>
          <w:p w14:paraId="516B383D" w14:textId="77777777" w:rsidR="000632DB" w:rsidRDefault="00BE7E3E" w:rsidP="00787D34">
            <w:pPr>
              <w:numPr>
                <w:ilvl w:val="0"/>
                <w:numId w:val="7"/>
              </w:numPr>
              <w:spacing w:line="360" w:lineRule="auto"/>
              <w:jc w:val="both"/>
              <w:rPr>
                <w:rFonts w:cstheme="minorHAnsi"/>
              </w:rPr>
            </w:pPr>
            <w:r w:rsidRPr="000632DB">
              <w:rPr>
                <w:rFonts w:cstheme="minorHAnsi"/>
                <w:b/>
                <w:bCs/>
              </w:rPr>
              <w:lastRenderedPageBreak/>
              <w:t>Actividad con apoyo de la tecnología:</w:t>
            </w:r>
            <w:r w:rsidRPr="000632DB">
              <w:rPr>
                <w:rFonts w:cstheme="minorHAnsi"/>
              </w:rPr>
              <w:t xml:space="preserve"> Se proyecta en la pantalla del aula una galería digital de etiquetas de productos químicos industriales y agrícolas. Las personas estudiantes ingresan de manera colectiva al recurso digital oficial del MEP "Clasificación de Compuestos Binarios" empleando las computadoras o tabletas del centro educativo, donde </w:t>
            </w:r>
            <w:r w:rsidR="000632DB" w:rsidRPr="000632DB">
              <w:rPr>
                <w:rFonts w:cstheme="minorHAnsi"/>
              </w:rPr>
              <w:t xml:space="preserve">observan el video </w:t>
            </w:r>
            <w:r w:rsidR="000632DB">
              <w:rPr>
                <w:rFonts w:cstheme="minorHAnsi"/>
              </w:rPr>
              <w:t>sobre el tema.</w:t>
            </w:r>
          </w:p>
          <w:p w14:paraId="5D038FAA" w14:textId="4E0FDBAC" w:rsidR="00BE7E3E" w:rsidRPr="000632DB" w:rsidRDefault="00BE7E3E" w:rsidP="00787D34">
            <w:pPr>
              <w:numPr>
                <w:ilvl w:val="0"/>
                <w:numId w:val="7"/>
              </w:numPr>
              <w:spacing w:line="360" w:lineRule="auto"/>
              <w:jc w:val="both"/>
              <w:rPr>
                <w:rFonts w:cstheme="minorHAnsi"/>
              </w:rPr>
            </w:pPr>
            <w:r w:rsidRPr="000632DB">
              <w:rPr>
                <w:rFonts w:cstheme="minorHAnsi"/>
                <w:b/>
                <w:bCs/>
              </w:rPr>
              <w:t>Actividad sin apoyo de la tecnología:</w:t>
            </w:r>
            <w:r w:rsidRPr="000632DB">
              <w:rPr>
                <w:rFonts w:cstheme="minorHAnsi"/>
              </w:rPr>
              <w:t xml:space="preserve"> En subgrupos, los estudiantes clasifican las reglas de nomenclatura recortando y pegando materiales de desecho (cartón, papel periódico, tapas) para armar un collage explicativo o mapa conceptual físico en el aula. En este, delimitan que el sistema Stock emplea números romanos para los estados de oxidación y el sistema Estequiométrico usa prefijos numerales griegos, contrastándolo directamente con folletos impresos de las reglas IUPAC. Finalmente, memorizan y ejecutan en vivo frente al grupo la obra de teatro cómica "La Gran Unión de los Elementos" empleando utilería reutilizable.</w:t>
            </w:r>
          </w:p>
          <w:p w14:paraId="25CF9155" w14:textId="3C7C683A" w:rsidR="009650F0" w:rsidRPr="000D2C35" w:rsidRDefault="00BE7E3E" w:rsidP="00BE7E3E">
            <w:pPr>
              <w:numPr>
                <w:ilvl w:val="0"/>
                <w:numId w:val="7"/>
              </w:numPr>
              <w:spacing w:line="360" w:lineRule="auto"/>
              <w:jc w:val="both"/>
              <w:rPr>
                <w:rFonts w:cstheme="minorHAnsi"/>
              </w:rPr>
            </w:pPr>
            <w:r w:rsidRPr="00BE7E3E">
              <w:rPr>
                <w:rFonts w:cstheme="minorHAnsi"/>
                <w:b/>
                <w:bCs/>
              </w:rPr>
              <w:t>Actividad con apoyo de la tecnología:</w:t>
            </w:r>
            <w:r w:rsidRPr="00BE7E3E">
              <w:rPr>
                <w:rFonts w:cstheme="minorHAnsi"/>
              </w:rPr>
              <w:t xml:space="preserve"> Los subgrupos diseñan el mapa conceptual sintético de forma colaborativa utilizando herramientas digitales como </w:t>
            </w:r>
            <w:proofErr w:type="spellStart"/>
            <w:r w:rsidRPr="00BE7E3E">
              <w:rPr>
                <w:rFonts w:cstheme="minorHAnsi"/>
              </w:rPr>
              <w:t>Canva</w:t>
            </w:r>
            <w:proofErr w:type="spellEnd"/>
            <w:r w:rsidRPr="00BE7E3E">
              <w:rPr>
                <w:rFonts w:cstheme="minorHAnsi"/>
              </w:rPr>
              <w:t xml:space="preserve">, incorporando hipervínculos hacia las publicaciones oficiales de la IUPAC para verificar los criterios de los números romanos y los prefijos griegos. Como estrategia de aplicación, los estudiantes graban en video digital su obra de teatro cómica </w:t>
            </w:r>
            <w:r w:rsidRPr="000D2C35">
              <w:rPr>
                <w:rFonts w:cstheme="minorHAnsi"/>
              </w:rPr>
              <w:t>"La Gran Unión de los Elementos</w:t>
            </w:r>
            <w:r w:rsidRPr="00BE7E3E">
              <w:rPr>
                <w:rFonts w:cstheme="minorHAnsi"/>
                <w:b/>
                <w:bCs/>
              </w:rPr>
              <w:t>"</w:t>
            </w:r>
            <w:r w:rsidRPr="00BE7E3E">
              <w:rPr>
                <w:rFonts w:cstheme="minorHAnsi"/>
              </w:rPr>
              <w:t xml:space="preserve"> y la editan para crear un cortometraje educativo enfocado en la cotidianidad agrícola, medicinal e industrial, compartiendo el enlace del video en el entorno institucional de OneDrive.</w:t>
            </w:r>
          </w:p>
        </w:tc>
      </w:tr>
      <w:tr w:rsidR="007D06AA" w:rsidRPr="00EB0252" w14:paraId="6097C334" w14:textId="77777777" w:rsidTr="009F62CF">
        <w:tc>
          <w:tcPr>
            <w:tcW w:w="10490" w:type="dxa"/>
            <w:gridSpan w:val="3"/>
          </w:tcPr>
          <w:p w14:paraId="45FB9BE0" w14:textId="2FD6EC70" w:rsidR="007D06AA" w:rsidRPr="009650F0" w:rsidRDefault="007D06AA" w:rsidP="00410C4D">
            <w:pPr>
              <w:jc w:val="center"/>
              <w:rPr>
                <w:rFonts w:cstheme="minorHAnsi"/>
                <w:b/>
                <w:bCs/>
                <w:lang w:val="es-ES"/>
              </w:rPr>
            </w:pPr>
            <w:r w:rsidRPr="009650F0">
              <w:rPr>
                <w:rFonts w:cstheme="minorHAnsi"/>
                <w:b/>
                <w:bCs/>
                <w:lang w:val="es-ES"/>
              </w:rPr>
              <w:lastRenderedPageBreak/>
              <w:t>Recursos</w:t>
            </w:r>
            <w:r w:rsidR="009A5158" w:rsidRPr="009650F0">
              <w:rPr>
                <w:rFonts w:cstheme="minorHAnsi"/>
                <w:b/>
                <w:bCs/>
                <w:lang w:val="es-ES"/>
              </w:rPr>
              <w:t xml:space="preserve"> complementarios</w:t>
            </w:r>
          </w:p>
        </w:tc>
      </w:tr>
      <w:tr w:rsidR="007D06AA" w:rsidRPr="00EB0252" w14:paraId="5CEE6871" w14:textId="77777777" w:rsidTr="009F62CF">
        <w:tc>
          <w:tcPr>
            <w:tcW w:w="10490" w:type="dxa"/>
            <w:gridSpan w:val="3"/>
          </w:tcPr>
          <w:p w14:paraId="66DF3B48" w14:textId="77777777" w:rsidR="008A7578" w:rsidRPr="008A7578" w:rsidRDefault="008A7578" w:rsidP="008A7578">
            <w:pPr>
              <w:spacing w:line="360" w:lineRule="auto"/>
              <w:jc w:val="both"/>
              <w:rPr>
                <w:rFonts w:cstheme="minorHAnsi"/>
                <w:b/>
                <w:bCs/>
              </w:rPr>
            </w:pPr>
            <w:r w:rsidRPr="008A7578">
              <w:rPr>
                <w:rFonts w:cstheme="minorHAnsi"/>
                <w:b/>
                <w:bCs/>
              </w:rPr>
              <w:t>Material complementario</w:t>
            </w:r>
          </w:p>
          <w:p w14:paraId="1CF22415" w14:textId="45326244" w:rsidR="008A7578" w:rsidRPr="008A7578" w:rsidRDefault="008A7578" w:rsidP="008A7578">
            <w:pPr>
              <w:numPr>
                <w:ilvl w:val="0"/>
                <w:numId w:val="8"/>
              </w:numPr>
              <w:spacing w:line="360" w:lineRule="auto"/>
              <w:jc w:val="both"/>
              <w:rPr>
                <w:rFonts w:cstheme="minorHAnsi"/>
              </w:rPr>
            </w:pPr>
            <w:r w:rsidRPr="008A7578">
              <w:rPr>
                <w:rFonts w:cstheme="minorHAnsi"/>
              </w:rPr>
              <w:t xml:space="preserve">Enlaces web y plataformas multimedia: </w:t>
            </w:r>
            <w:r w:rsidRPr="008A7578">
              <w:rPr>
                <w:rFonts w:cstheme="minorHAnsi"/>
                <w:i/>
                <w:iCs/>
              </w:rPr>
              <w:t>Recurso Digital del MEP:</w:t>
            </w:r>
            <w:r w:rsidRPr="008A7578">
              <w:rPr>
                <w:rFonts w:cstheme="minorHAnsi"/>
              </w:rPr>
              <w:t xml:space="preserve"> Enlace de acceso directo a la aplicación didáctica interactiva Clasificación de Compuestos Binarios, disponible en los portales institucionales de Ciencias para la Educación Diversificada.</w:t>
            </w:r>
            <w:r w:rsidR="007B1A5B" w:rsidRPr="007B1A5B">
              <w:t xml:space="preserve"> </w:t>
            </w:r>
            <w:hyperlink r:id="rId10" w:history="1">
              <w:r w:rsidR="007B1A5B" w:rsidRPr="007B1A5B">
                <w:rPr>
                  <w:rStyle w:val="Hipervnculo"/>
                  <w:rFonts w:cstheme="minorHAnsi"/>
                </w:rPr>
                <w:t>Clasificación compuestos binarios | Ministerio de Educación Pública</w:t>
              </w:r>
            </w:hyperlink>
          </w:p>
          <w:p w14:paraId="105EF4D3" w14:textId="5637B8AE" w:rsidR="008A7578" w:rsidRPr="008A7578" w:rsidRDefault="008A7578" w:rsidP="008A7578">
            <w:pPr>
              <w:spacing w:line="360" w:lineRule="auto"/>
              <w:jc w:val="both"/>
              <w:rPr>
                <w:rFonts w:cstheme="minorHAnsi"/>
                <w:b/>
                <w:bCs/>
              </w:rPr>
            </w:pPr>
            <w:r w:rsidRPr="008A7578">
              <w:rPr>
                <w:rFonts w:cstheme="minorHAnsi"/>
                <w:b/>
                <w:bCs/>
              </w:rPr>
              <w:t>Material de refuerzo para la casa</w:t>
            </w:r>
          </w:p>
          <w:p w14:paraId="25E30929" w14:textId="77777777" w:rsidR="008A7578" w:rsidRPr="008A7578" w:rsidRDefault="008A7578" w:rsidP="008A7578">
            <w:pPr>
              <w:numPr>
                <w:ilvl w:val="0"/>
                <w:numId w:val="9"/>
              </w:numPr>
              <w:spacing w:line="360" w:lineRule="auto"/>
              <w:jc w:val="both"/>
              <w:rPr>
                <w:rFonts w:cstheme="minorHAnsi"/>
              </w:rPr>
            </w:pPr>
            <w:r w:rsidRPr="00947E7B">
              <w:rPr>
                <w:rFonts w:cstheme="minorHAnsi"/>
              </w:rPr>
              <w:t>El Inspector de la Despensa Química:</w:t>
            </w:r>
            <w:r w:rsidRPr="008A7578">
              <w:rPr>
                <w:rFonts w:cstheme="minorHAnsi"/>
              </w:rPr>
              <w:t xml:space="preserve"> Ficha de trabajo autónomo donde el estudiante debe localizar en su hogar un producto de limpieza, medicamento o insumo agrícola que muestre su composición química (por ejemplo, cloro comercial, leche de magnesia o fertilizantes). En su cuaderno de química (bitácora de investigación), el estudiante deberá transcribir la fórmula del compuesto y escribir de manera rigurosa su nombre oficial utilizando tanto el sistema Stock (números romanos) como el sistema Estequiométrico (prefijos griegos), añadiendo una advertencia breve sobre su manipulación segura en el hogar.</w:t>
            </w:r>
          </w:p>
          <w:p w14:paraId="11E340D1" w14:textId="4C9164B1" w:rsidR="008A7578" w:rsidRPr="008A7578" w:rsidRDefault="008A7578" w:rsidP="008A7578">
            <w:pPr>
              <w:spacing w:line="360" w:lineRule="auto"/>
              <w:jc w:val="both"/>
              <w:rPr>
                <w:rFonts w:cstheme="minorHAnsi"/>
                <w:b/>
                <w:bCs/>
              </w:rPr>
            </w:pPr>
            <w:r w:rsidRPr="008A7578">
              <w:rPr>
                <w:rFonts w:cstheme="minorHAnsi"/>
                <w:b/>
                <w:bCs/>
              </w:rPr>
              <w:lastRenderedPageBreak/>
              <w:t>Bancos de ítems complementarios</w:t>
            </w:r>
          </w:p>
          <w:p w14:paraId="563A3A03" w14:textId="77777777" w:rsidR="008A7578" w:rsidRPr="008A7578" w:rsidRDefault="008A7578" w:rsidP="008A7578">
            <w:pPr>
              <w:spacing w:line="360" w:lineRule="auto"/>
              <w:jc w:val="both"/>
              <w:rPr>
                <w:rFonts w:cstheme="minorHAnsi"/>
              </w:rPr>
            </w:pPr>
            <w:r w:rsidRPr="008A7578">
              <w:rPr>
                <w:rFonts w:cstheme="minorHAnsi"/>
              </w:rPr>
              <w:t>Reactivo formal estructurado bajo los lineamientos técnicos de la Dirección de Gestión y Evaluación de la Calidad (DGEC) para la Prueba Nacional Estandarizada:</w:t>
            </w:r>
          </w:p>
          <w:p w14:paraId="11848193" w14:textId="77777777" w:rsidR="00DE3855" w:rsidRPr="00C67236" w:rsidRDefault="00DE3855" w:rsidP="00DE3855">
            <w:pPr>
              <w:widowControl w:val="0"/>
              <w:spacing w:line="360" w:lineRule="auto"/>
            </w:pPr>
            <w:r w:rsidRPr="00C67236">
              <w:t>Considere la siguiente situación en un laboratorio institucional:</w:t>
            </w:r>
          </w:p>
          <w:p w14:paraId="236B98A1" w14:textId="77777777" w:rsidR="00DE3855" w:rsidRPr="00C67236" w:rsidRDefault="00DE3855" w:rsidP="00DE3855">
            <w:pPr>
              <w:widowControl w:val="0"/>
              <w:spacing w:line="360" w:lineRule="auto"/>
            </w:pPr>
            <w:r w:rsidRPr="00C67236">
              <w:t>Como parte de las jornadas de gestión del riesgo y actualización de inventarios, un asistente de laboratorio debe rotular un reactivo puro de color rojizo utilizado en experimentos de oxidación, cuya fórmula química es Fe</w:t>
            </w:r>
            <w:r>
              <w:rPr>
                <w:vertAlign w:val="subscript"/>
              </w:rPr>
              <w:t>2</w:t>
            </w:r>
            <w:r w:rsidRPr="00C67236">
              <w:t>O</w:t>
            </w:r>
            <w:r>
              <w:rPr>
                <w:vertAlign w:val="subscript"/>
              </w:rPr>
              <w:t>3</w:t>
            </w:r>
            <w:r>
              <w:t xml:space="preserve">. </w:t>
            </w:r>
            <w:r w:rsidRPr="00C67236">
              <w:t>Para cumplir con las directrices internacionales de la IUPAC, el asistente debe registrar en la base de datos digital el nombre del compuesto</w:t>
            </w:r>
            <w:r>
              <w:t>.</w:t>
            </w:r>
          </w:p>
          <w:p w14:paraId="71CB231D" w14:textId="77777777" w:rsidR="00DE3855" w:rsidRPr="00C67236" w:rsidRDefault="00DE3855" w:rsidP="00DE3855">
            <w:pPr>
              <w:widowControl w:val="0"/>
              <w:spacing w:line="360" w:lineRule="auto"/>
            </w:pPr>
            <w:r w:rsidRPr="00C67236">
              <w:t xml:space="preserve">De acuerdo con las reglas de nomenclatura inorgánica, ¿cuál opción contiene </w:t>
            </w:r>
            <w:r>
              <w:t xml:space="preserve">el </w:t>
            </w:r>
            <w:r w:rsidRPr="00C67236">
              <w:t>nombre</w:t>
            </w:r>
            <w:r>
              <w:t xml:space="preserve"> </w:t>
            </w:r>
            <w:r w:rsidRPr="00C67236">
              <w:t>correcto para el compuesto</w:t>
            </w:r>
            <w:r w:rsidRPr="006F0E89">
              <w:t xml:space="preserve"> </w:t>
            </w:r>
            <w:r w:rsidRPr="00C67236">
              <w:t>Fe</w:t>
            </w:r>
            <w:r>
              <w:rPr>
                <w:vertAlign w:val="subscript"/>
              </w:rPr>
              <w:t>2</w:t>
            </w:r>
            <w:r w:rsidRPr="00C67236">
              <w:t>O</w:t>
            </w:r>
            <w:r>
              <w:rPr>
                <w:vertAlign w:val="subscript"/>
              </w:rPr>
              <w:t>3</w:t>
            </w:r>
            <w:r w:rsidRPr="00C67236">
              <w:t>?</w:t>
            </w:r>
          </w:p>
          <w:p w14:paraId="190F0C71" w14:textId="77777777" w:rsidR="00DE3855" w:rsidRPr="00C67236" w:rsidRDefault="00DE3855" w:rsidP="00DE3855">
            <w:pPr>
              <w:widowControl w:val="0"/>
              <w:spacing w:line="360" w:lineRule="auto"/>
              <w:ind w:left="720"/>
            </w:pPr>
            <w:r w:rsidRPr="00C67236">
              <w:rPr>
                <w:b/>
                <w:bCs/>
              </w:rPr>
              <w:t>A)</w:t>
            </w:r>
            <w:r w:rsidRPr="00C67236">
              <w:t xml:space="preserve"> Óxido de hierro (II)</w:t>
            </w:r>
            <w:r>
              <w:t>.</w:t>
            </w:r>
          </w:p>
          <w:p w14:paraId="715D1D18" w14:textId="77777777" w:rsidR="00DE3855" w:rsidRPr="00C67236" w:rsidRDefault="00DE3855" w:rsidP="00DE3855">
            <w:pPr>
              <w:widowControl w:val="0"/>
              <w:spacing w:line="360" w:lineRule="auto"/>
              <w:ind w:left="720"/>
            </w:pPr>
            <w:r w:rsidRPr="00C67236">
              <w:rPr>
                <w:b/>
                <w:bCs/>
              </w:rPr>
              <w:t>B)</w:t>
            </w:r>
            <w:r w:rsidRPr="00C67236">
              <w:t xml:space="preserve"> Óxido de hierro (III)</w:t>
            </w:r>
            <w:r>
              <w:t>.</w:t>
            </w:r>
          </w:p>
          <w:p w14:paraId="1C321DF4" w14:textId="77777777" w:rsidR="00DE3855" w:rsidRDefault="00DE3855" w:rsidP="00DE3855">
            <w:pPr>
              <w:spacing w:line="360" w:lineRule="auto"/>
              <w:ind w:left="720"/>
            </w:pPr>
            <w:r w:rsidRPr="00C67236">
              <w:rPr>
                <w:b/>
                <w:bCs/>
              </w:rPr>
              <w:t>C)</w:t>
            </w:r>
            <w:r w:rsidRPr="00C67236">
              <w:t xml:space="preserve"> Trióxido de hierro</w:t>
            </w:r>
            <w:r>
              <w:t>.</w:t>
            </w:r>
          </w:p>
          <w:p w14:paraId="49B3D369" w14:textId="77777777" w:rsidR="00DE3855" w:rsidRPr="00C67236" w:rsidRDefault="00DE3855" w:rsidP="00DE3855">
            <w:pPr>
              <w:widowControl w:val="0"/>
              <w:spacing w:line="360" w:lineRule="auto"/>
              <w:ind w:left="720"/>
            </w:pPr>
            <w:r>
              <w:rPr>
                <w:b/>
                <w:bCs/>
              </w:rPr>
              <w:t xml:space="preserve">D) </w:t>
            </w:r>
            <w:r>
              <w:t>D</w:t>
            </w:r>
            <w:r w:rsidRPr="007462A6">
              <w:t>ióxido de hierro</w:t>
            </w:r>
            <w:r>
              <w:t>.</w:t>
            </w:r>
          </w:p>
          <w:p w14:paraId="12C23EB6" w14:textId="77777777" w:rsidR="00DE3855" w:rsidRDefault="00DE3855" w:rsidP="00DE3855">
            <w:pPr>
              <w:spacing w:line="360" w:lineRule="auto"/>
              <w:rPr>
                <w:b/>
                <w:bCs/>
              </w:rPr>
            </w:pPr>
          </w:p>
          <w:p w14:paraId="40EC7E3F" w14:textId="5460988F" w:rsidR="00DE3855" w:rsidRPr="00C67236" w:rsidRDefault="002D4E64" w:rsidP="00DE3855">
            <w:pPr>
              <w:widowControl w:val="0"/>
              <w:spacing w:line="360" w:lineRule="auto"/>
            </w:pPr>
            <w:r>
              <w:t xml:space="preserve">Respuesta correcta B. Justificación: </w:t>
            </w:r>
            <w:r w:rsidR="00DE3855" w:rsidRPr="00C67236">
              <w:t xml:space="preserve">En el sistema Stock se indica el estado de oxidación del metal con números romanos entre paréntesis; dado que el hierro actúa con carga +3, el nombre es óxido de hierro (III). </w:t>
            </w:r>
          </w:p>
          <w:p w14:paraId="7E70F1CF" w14:textId="77777777" w:rsidR="00DE5CAA" w:rsidRPr="00DE5CAA" w:rsidRDefault="00DE5CAA" w:rsidP="00DE5CAA">
            <w:pPr>
              <w:spacing w:line="360" w:lineRule="auto"/>
              <w:jc w:val="both"/>
              <w:rPr>
                <w:rFonts w:cstheme="minorHAnsi"/>
                <w:b/>
                <w:bCs/>
              </w:rPr>
            </w:pPr>
            <w:r w:rsidRPr="00DE5CAA">
              <w:rPr>
                <w:rFonts w:cstheme="minorHAnsi"/>
                <w:b/>
                <w:bCs/>
              </w:rPr>
              <w:t>Recursos para la atención de apoyos educativos (DUA)</w:t>
            </w:r>
          </w:p>
          <w:p w14:paraId="4DF987E9" w14:textId="77777777" w:rsidR="00DE5CAA" w:rsidRPr="00DE5CAA" w:rsidRDefault="00DE5CAA" w:rsidP="00DE5CAA">
            <w:pPr>
              <w:numPr>
                <w:ilvl w:val="0"/>
                <w:numId w:val="10"/>
              </w:numPr>
              <w:spacing w:line="360" w:lineRule="auto"/>
              <w:jc w:val="both"/>
              <w:rPr>
                <w:rFonts w:cstheme="minorHAnsi"/>
              </w:rPr>
            </w:pPr>
            <w:r w:rsidRPr="00DE5CAA">
              <w:rPr>
                <w:rFonts w:cstheme="minorHAnsi"/>
              </w:rPr>
              <w:t xml:space="preserve">Fichas de Combinación </w:t>
            </w:r>
            <w:proofErr w:type="spellStart"/>
            <w:r w:rsidRPr="00DE5CAA">
              <w:rPr>
                <w:rFonts w:cstheme="minorHAnsi"/>
              </w:rPr>
              <w:t>Macrotipo</w:t>
            </w:r>
            <w:proofErr w:type="spellEnd"/>
            <w:r w:rsidRPr="00DE5CAA">
              <w:rPr>
                <w:rFonts w:cstheme="minorHAnsi"/>
              </w:rPr>
              <w:t xml:space="preserve"> con Relieve: Tarjetas de elementos químicos impresas en fuente Arial 24 con texturas diferenciadas (por ejemplo, bordes rugosos para los cationes metálicos y bordes lisos para los aniones no metálicos), permitiendo que los estudiantes con necesidades de apoyo visual o estilos de aprendizaje táctil realicen las interacciones sociales de combinación iónica de manera accesible.</w:t>
            </w:r>
          </w:p>
          <w:p w14:paraId="78DFDD44" w14:textId="77777777" w:rsidR="00DE5CAA" w:rsidRPr="00DE5CAA" w:rsidRDefault="00DE5CAA" w:rsidP="00DE5CAA">
            <w:pPr>
              <w:numPr>
                <w:ilvl w:val="0"/>
                <w:numId w:val="10"/>
              </w:numPr>
              <w:spacing w:line="360" w:lineRule="auto"/>
              <w:jc w:val="both"/>
              <w:rPr>
                <w:rFonts w:cstheme="minorHAnsi"/>
              </w:rPr>
            </w:pPr>
            <w:r w:rsidRPr="00DE5CAA">
              <w:rPr>
                <w:rFonts w:cstheme="minorHAnsi"/>
              </w:rPr>
              <w:t>Guía Simbólica de Prefijos Griegos y Romanos: Plantilla visual de alto contraste que asocia con colores fijos la equivalencia entre los prefijos griegos (mono-, di-, tri-) y los números romanos (I, II, III), sirviendo como andamiaje cognitivo continuo en el cuaderno del estudiante durante la resolución de las fórmulas.</w:t>
            </w:r>
          </w:p>
          <w:p w14:paraId="3F3881EC" w14:textId="4C9DA2F5" w:rsidR="00DE5CAA" w:rsidRPr="00DE5CAA" w:rsidRDefault="00DE5CAA" w:rsidP="00DE5CAA">
            <w:pPr>
              <w:spacing w:line="360" w:lineRule="auto"/>
              <w:jc w:val="both"/>
              <w:rPr>
                <w:rFonts w:cstheme="minorHAnsi"/>
                <w:b/>
                <w:bCs/>
              </w:rPr>
            </w:pPr>
            <w:r w:rsidRPr="00DE5CAA">
              <w:rPr>
                <w:rFonts w:cstheme="minorHAnsi"/>
                <w:b/>
                <w:bCs/>
              </w:rPr>
              <w:t>Materiales de profundización</w:t>
            </w:r>
          </w:p>
          <w:p w14:paraId="75DD1D43" w14:textId="77777777" w:rsidR="00DE5CAA" w:rsidRDefault="00DE5CAA" w:rsidP="00DE5CAA">
            <w:pPr>
              <w:numPr>
                <w:ilvl w:val="0"/>
                <w:numId w:val="11"/>
              </w:numPr>
              <w:spacing w:line="360" w:lineRule="auto"/>
              <w:jc w:val="both"/>
              <w:rPr>
                <w:rFonts w:cstheme="minorHAnsi"/>
              </w:rPr>
            </w:pPr>
            <w:r w:rsidRPr="00DE5CAA">
              <w:rPr>
                <w:rFonts w:cstheme="minorHAnsi"/>
              </w:rPr>
              <w:t xml:space="preserve">Análisis de Fórmulas Cuaternarias Industriales: Guía científica de extensión dirigida a los estudiantes que demuestren un nivel de desempeño avanzado en la comprensión de las interacciones normativas. El recurso les desafía a analizar y nombrar compuestos de alta complejidad estructural presentes en la cotidianidad </w:t>
            </w:r>
            <w:r w:rsidRPr="00DE5CAA">
              <w:rPr>
                <w:rFonts w:cstheme="minorHAnsi"/>
              </w:rPr>
              <w:lastRenderedPageBreak/>
              <w:t>agrícola local (como sales ácidas o sales hidratadas), obligándoles a argumentar por escrito cómo la nomenclatura estandarizada previene accidentes químicos graves a escala macroscópica en las fábricas del país.</w:t>
            </w:r>
          </w:p>
          <w:p w14:paraId="547CC10E" w14:textId="77777777" w:rsidR="00F55B33" w:rsidRPr="00EC37C7" w:rsidRDefault="00F55B33" w:rsidP="00F55B33">
            <w:pPr>
              <w:pBdr>
                <w:top w:val="nil"/>
                <w:left w:val="nil"/>
                <w:bottom w:val="nil"/>
                <w:right w:val="nil"/>
                <w:between w:val="nil"/>
              </w:pBdr>
              <w:spacing w:line="300" w:lineRule="auto"/>
              <w:jc w:val="both"/>
              <w:rPr>
                <w:b/>
                <w:bCs/>
              </w:rPr>
            </w:pPr>
            <w:r w:rsidRPr="00EC37C7">
              <w:rPr>
                <w:b/>
                <w:bCs/>
              </w:rPr>
              <w:t>Recursos MEP</w:t>
            </w:r>
          </w:p>
          <w:p w14:paraId="51070B94" w14:textId="77777777" w:rsidR="00F55B33" w:rsidRDefault="00F55B33" w:rsidP="00F55B33">
            <w:pPr>
              <w:pBdr>
                <w:top w:val="nil"/>
                <w:left w:val="nil"/>
                <w:bottom w:val="nil"/>
                <w:right w:val="nil"/>
                <w:between w:val="nil"/>
              </w:pBdr>
              <w:spacing w:line="300" w:lineRule="auto"/>
              <w:jc w:val="both"/>
            </w:pPr>
            <w:r w:rsidRPr="00A17184">
              <w:t>A continuación, se comparten valiosos enlaces del repositorio del MEP y el recurso de la Tabla Periódica Muda, con el fin de apoyar a la persona docente en el desarrollo de su práctica educativa diaria y en la diversificación de sus actividades de aula</w:t>
            </w:r>
            <w:r>
              <w:t>.</w:t>
            </w:r>
          </w:p>
          <w:p w14:paraId="7D3AD14F" w14:textId="77777777" w:rsidR="00F55B33" w:rsidRPr="00DE5CAA" w:rsidRDefault="00F55B33" w:rsidP="00F55B33">
            <w:pPr>
              <w:spacing w:line="360" w:lineRule="auto"/>
              <w:jc w:val="both"/>
              <w:rPr>
                <w:rFonts w:cstheme="minorHAnsi"/>
              </w:rPr>
            </w:pPr>
          </w:p>
          <w:p w14:paraId="0ABD4D0D" w14:textId="77777777" w:rsidR="00692D9B" w:rsidRDefault="00692D9B" w:rsidP="00692D9B">
            <w:pPr>
              <w:pBdr>
                <w:top w:val="nil"/>
                <w:left w:val="nil"/>
                <w:bottom w:val="nil"/>
                <w:right w:val="nil"/>
                <w:between w:val="nil"/>
              </w:pBdr>
              <w:spacing w:line="300" w:lineRule="auto"/>
              <w:jc w:val="both"/>
            </w:pPr>
            <w:hyperlink r:id="rId11" w:history="1">
              <w:proofErr w:type="spellStart"/>
              <w:r w:rsidRPr="00FB53C8">
                <w:rPr>
                  <w:rStyle w:val="Hipervnculo"/>
                </w:rPr>
                <w:t>AprendizUp</w:t>
              </w:r>
              <w:proofErr w:type="spellEnd"/>
            </w:hyperlink>
          </w:p>
          <w:p w14:paraId="1B41B288" w14:textId="77777777" w:rsidR="00692D9B" w:rsidRDefault="00692D9B" w:rsidP="00692D9B">
            <w:pPr>
              <w:pBdr>
                <w:top w:val="nil"/>
                <w:left w:val="nil"/>
                <w:bottom w:val="nil"/>
                <w:right w:val="nil"/>
                <w:between w:val="nil"/>
              </w:pBdr>
              <w:spacing w:line="300" w:lineRule="auto"/>
              <w:jc w:val="both"/>
            </w:pPr>
          </w:p>
          <w:p w14:paraId="426AD7D5" w14:textId="77777777" w:rsidR="00692D9B" w:rsidRDefault="00692D9B" w:rsidP="00692D9B">
            <w:pPr>
              <w:pBdr>
                <w:top w:val="nil"/>
                <w:left w:val="nil"/>
                <w:bottom w:val="nil"/>
                <w:right w:val="nil"/>
                <w:between w:val="nil"/>
              </w:pBdr>
              <w:spacing w:line="300" w:lineRule="auto"/>
              <w:jc w:val="both"/>
            </w:pPr>
            <w:hyperlink r:id="rId12" w:history="1">
              <w:r w:rsidRPr="00095328">
                <w:rPr>
                  <w:rStyle w:val="Hipervnculo"/>
                  <w:lang w:val="es-ES"/>
                </w:rPr>
                <w:t>Tabla Periódica: generalidades | Ministerio de Educación Pública</w:t>
              </w:r>
            </w:hyperlink>
          </w:p>
          <w:p w14:paraId="17E6EAB6" w14:textId="77777777" w:rsidR="00692D9B" w:rsidRPr="00095328" w:rsidRDefault="00692D9B" w:rsidP="00692D9B">
            <w:pPr>
              <w:widowControl w:val="0"/>
              <w:pBdr>
                <w:top w:val="nil"/>
                <w:left w:val="nil"/>
                <w:bottom w:val="nil"/>
                <w:right w:val="nil"/>
                <w:between w:val="nil"/>
              </w:pBdr>
              <w:spacing w:line="300" w:lineRule="auto"/>
              <w:jc w:val="both"/>
            </w:pPr>
          </w:p>
          <w:p w14:paraId="10C703EA" w14:textId="77777777" w:rsidR="00692D9B" w:rsidRDefault="00692D9B" w:rsidP="00692D9B">
            <w:pPr>
              <w:pBdr>
                <w:top w:val="nil"/>
                <w:left w:val="nil"/>
                <w:bottom w:val="nil"/>
                <w:right w:val="nil"/>
                <w:between w:val="nil"/>
              </w:pBdr>
              <w:spacing w:line="300" w:lineRule="auto"/>
              <w:jc w:val="both"/>
            </w:pPr>
            <w:hyperlink r:id="rId13" w:history="1">
              <w:r w:rsidRPr="00692D9B">
                <w:rPr>
                  <w:rStyle w:val="Hipervnculo"/>
                </w:rPr>
                <w:t xml:space="preserve">3D </w:t>
              </w:r>
            </w:hyperlink>
            <w:hyperlink r:id="rId14" w:history="1">
              <w:proofErr w:type="spellStart"/>
              <w:r w:rsidRPr="00692D9B">
                <w:rPr>
                  <w:rStyle w:val="Hipervnculo"/>
                </w:rPr>
                <w:t>Periodic</w:t>
              </w:r>
              <w:proofErr w:type="spellEnd"/>
            </w:hyperlink>
            <w:hyperlink r:id="rId15" w:history="1">
              <w:r w:rsidRPr="00692D9B">
                <w:rPr>
                  <w:rStyle w:val="Hipervnculo"/>
                </w:rPr>
                <w:t xml:space="preserve"> Table</w:t>
              </w:r>
            </w:hyperlink>
          </w:p>
          <w:p w14:paraId="3DEDD989" w14:textId="77777777" w:rsidR="00692D9B" w:rsidRDefault="00692D9B" w:rsidP="00692D9B">
            <w:pPr>
              <w:pBdr>
                <w:top w:val="nil"/>
                <w:left w:val="nil"/>
                <w:bottom w:val="nil"/>
                <w:right w:val="nil"/>
                <w:between w:val="nil"/>
              </w:pBdr>
              <w:spacing w:line="300" w:lineRule="auto"/>
              <w:jc w:val="both"/>
            </w:pPr>
          </w:p>
          <w:p w14:paraId="68BF3914" w14:textId="77777777" w:rsidR="00692D9B" w:rsidRPr="00692D9B" w:rsidRDefault="00692D9B" w:rsidP="00692D9B">
            <w:pPr>
              <w:pBdr>
                <w:top w:val="nil"/>
                <w:left w:val="nil"/>
                <w:bottom w:val="nil"/>
                <w:right w:val="nil"/>
                <w:between w:val="nil"/>
              </w:pBdr>
              <w:spacing w:line="300" w:lineRule="auto"/>
              <w:jc w:val="both"/>
            </w:pPr>
            <w:hyperlink r:id="rId16" w:history="1">
              <w:proofErr w:type="spellStart"/>
              <w:r w:rsidRPr="00EB6E22">
                <w:rPr>
                  <w:rStyle w:val="Hipervnculo"/>
                </w:rPr>
                <w:t>Educatico</w:t>
              </w:r>
              <w:proofErr w:type="spellEnd"/>
              <w:r w:rsidRPr="00EB6E22">
                <w:rPr>
                  <w:rStyle w:val="Hipervnculo"/>
                </w:rPr>
                <w:t xml:space="preserve"> | Ministerio de Educación Pública</w:t>
              </w:r>
            </w:hyperlink>
          </w:p>
          <w:p w14:paraId="0AFDAC14" w14:textId="77777777" w:rsidR="00692D9B" w:rsidRPr="00692D9B" w:rsidRDefault="00692D9B" w:rsidP="00692D9B">
            <w:pPr>
              <w:pBdr>
                <w:top w:val="nil"/>
                <w:left w:val="nil"/>
                <w:bottom w:val="nil"/>
                <w:right w:val="nil"/>
                <w:between w:val="nil"/>
              </w:pBdr>
              <w:spacing w:line="300" w:lineRule="auto"/>
              <w:jc w:val="both"/>
            </w:pPr>
          </w:p>
          <w:p w14:paraId="40BF3FC0" w14:textId="77777777" w:rsidR="00692D9B" w:rsidRDefault="00692D9B" w:rsidP="00692D9B">
            <w:pPr>
              <w:pBdr>
                <w:top w:val="nil"/>
                <w:left w:val="nil"/>
                <w:bottom w:val="nil"/>
                <w:right w:val="nil"/>
                <w:between w:val="nil"/>
              </w:pBdr>
              <w:spacing w:line="300" w:lineRule="auto"/>
              <w:jc w:val="both"/>
              <w:rPr>
                <w:lang w:val="en-US"/>
              </w:rPr>
            </w:pPr>
            <w:hyperlink r:id="rId17" w:history="1">
              <w:r w:rsidRPr="00AF439D">
                <w:rPr>
                  <w:rStyle w:val="Hipervnculo"/>
                </w:rPr>
                <w:t>Filtros - Simulaciones Interactivas PhET</w:t>
              </w:r>
            </w:hyperlink>
          </w:p>
          <w:p w14:paraId="03FD8358" w14:textId="77777777" w:rsidR="00692D9B" w:rsidRDefault="00692D9B" w:rsidP="00692D9B">
            <w:pPr>
              <w:pBdr>
                <w:top w:val="nil"/>
                <w:left w:val="nil"/>
                <w:bottom w:val="nil"/>
                <w:right w:val="nil"/>
                <w:between w:val="nil"/>
              </w:pBdr>
              <w:spacing w:line="300" w:lineRule="auto"/>
              <w:jc w:val="both"/>
              <w:rPr>
                <w:lang w:val="en-US"/>
              </w:rPr>
            </w:pPr>
          </w:p>
          <w:p w14:paraId="2FA46B3C" w14:textId="77777777" w:rsidR="00692D9B" w:rsidRPr="003449E0" w:rsidRDefault="00692D9B" w:rsidP="00692D9B">
            <w:pPr>
              <w:widowControl w:val="0"/>
              <w:pBdr>
                <w:top w:val="nil"/>
                <w:left w:val="nil"/>
                <w:bottom w:val="nil"/>
                <w:right w:val="nil"/>
                <w:between w:val="nil"/>
              </w:pBdr>
              <w:spacing w:line="300" w:lineRule="auto"/>
              <w:jc w:val="both"/>
              <w:rPr>
                <w:lang w:val="en-US"/>
              </w:rPr>
            </w:pPr>
            <w:r w:rsidRPr="00C50185">
              <w:rPr>
                <w:noProof/>
                <w:lang w:val="en-US"/>
              </w:rPr>
              <w:drawing>
                <wp:inline distT="0" distB="0" distL="0" distR="0" wp14:anchorId="6A7F16AA" wp14:editId="66C0DBCA">
                  <wp:extent cx="5080000" cy="3354645"/>
                  <wp:effectExtent l="0" t="0" r="6350" b="0"/>
                  <wp:docPr id="2881091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09103" name=""/>
                          <pic:cNvPicPr/>
                        </pic:nvPicPr>
                        <pic:blipFill>
                          <a:blip r:embed="rId18"/>
                          <a:stretch>
                            <a:fillRect/>
                          </a:stretch>
                        </pic:blipFill>
                        <pic:spPr>
                          <a:xfrm>
                            <a:off x="0" y="0"/>
                            <a:ext cx="5085501" cy="3358278"/>
                          </a:xfrm>
                          <a:prstGeom prst="rect">
                            <a:avLst/>
                          </a:prstGeom>
                        </pic:spPr>
                      </pic:pic>
                    </a:graphicData>
                  </a:graphic>
                </wp:inline>
              </w:drawing>
            </w:r>
          </w:p>
          <w:p w14:paraId="5555F03E" w14:textId="4C07637B" w:rsidR="009A5158" w:rsidRPr="008A7578" w:rsidRDefault="009A5158" w:rsidP="008A7578">
            <w:pPr>
              <w:spacing w:line="360" w:lineRule="auto"/>
              <w:jc w:val="both"/>
              <w:rPr>
                <w:rFonts w:cstheme="minorHAnsi"/>
              </w:rPr>
            </w:pPr>
          </w:p>
        </w:tc>
      </w:tr>
      <w:tr w:rsidR="007D06AA" w:rsidRPr="00EB0252" w14:paraId="276D956C" w14:textId="77777777" w:rsidTr="009F62CF">
        <w:tc>
          <w:tcPr>
            <w:tcW w:w="10490" w:type="dxa"/>
            <w:gridSpan w:val="3"/>
          </w:tcPr>
          <w:p w14:paraId="488EC021" w14:textId="6BFA47CE" w:rsidR="007D06AA" w:rsidRPr="009650F0" w:rsidRDefault="007D06AA" w:rsidP="000065EF">
            <w:pPr>
              <w:jc w:val="center"/>
              <w:rPr>
                <w:rFonts w:cstheme="minorHAnsi"/>
                <w:b/>
                <w:bCs/>
                <w:color w:val="0070C0"/>
                <w:lang w:val="es-ES"/>
              </w:rPr>
            </w:pPr>
            <w:r w:rsidRPr="009650F0">
              <w:rPr>
                <w:rFonts w:cstheme="minorHAnsi"/>
                <w:b/>
                <w:bCs/>
                <w:lang w:val="es-ES"/>
              </w:rPr>
              <w:lastRenderedPageBreak/>
              <w:t>Bibliografía</w:t>
            </w:r>
          </w:p>
        </w:tc>
      </w:tr>
      <w:tr w:rsidR="000065EF" w:rsidRPr="00EB0252" w14:paraId="2ABF575B" w14:textId="77777777" w:rsidTr="009F62CF">
        <w:tc>
          <w:tcPr>
            <w:tcW w:w="10490" w:type="dxa"/>
            <w:gridSpan w:val="3"/>
          </w:tcPr>
          <w:p w14:paraId="6ECC32A2" w14:textId="21860CD1" w:rsidR="000065EF" w:rsidRPr="009E25F8" w:rsidRDefault="001034F1" w:rsidP="009E25F8">
            <w:pPr>
              <w:spacing w:line="360" w:lineRule="auto"/>
              <w:rPr>
                <w:rFonts w:cstheme="minorHAnsi"/>
                <w:lang w:val="es-ES"/>
              </w:rPr>
            </w:pPr>
            <w:r w:rsidRPr="009E25F8">
              <w:rPr>
                <w:rFonts w:cstheme="minorHAnsi"/>
              </w:rPr>
              <w:t xml:space="preserve">Ministerio de Educación Pública de Costa Rica. (2017). </w:t>
            </w:r>
            <w:r w:rsidRPr="009E25F8">
              <w:rPr>
                <w:rFonts w:cstheme="minorHAnsi"/>
                <w:i/>
                <w:iCs/>
              </w:rPr>
              <w:t>Programa de Estudio de Química: Educación Diversificada</w:t>
            </w:r>
            <w:r w:rsidRPr="009E25F8">
              <w:rPr>
                <w:rFonts w:cstheme="minorHAnsi"/>
              </w:rPr>
              <w:t>. San José, Costa Rica: Dirección de Desarrollo Curricular.</w:t>
            </w:r>
          </w:p>
        </w:tc>
      </w:tr>
    </w:tbl>
    <w:p w14:paraId="1878DF94" w14:textId="77777777" w:rsidR="00D54ABF" w:rsidRPr="00EB0252" w:rsidRDefault="00D54ABF" w:rsidP="00D54ABF">
      <w:pPr>
        <w:rPr>
          <w:rFonts w:ascii="Arial" w:hAnsi="Arial" w:cs="Arial"/>
          <w:lang w:val="es-ES"/>
        </w:rPr>
      </w:pPr>
    </w:p>
    <w:bookmarkEnd w:id="0"/>
    <w:p w14:paraId="53BC0401" w14:textId="77777777" w:rsidR="004341AE" w:rsidRPr="00EB0252" w:rsidRDefault="004341AE" w:rsidP="00EE6E95">
      <w:pPr>
        <w:spacing w:after="0" w:line="240" w:lineRule="auto"/>
        <w:jc w:val="both"/>
        <w:rPr>
          <w:rFonts w:ascii="Arial" w:hAnsi="Arial" w:cs="Arial"/>
          <w:b/>
          <w:bCs/>
        </w:rPr>
      </w:pPr>
    </w:p>
    <w:p w14:paraId="7FB51399" w14:textId="77777777" w:rsidR="009452CC" w:rsidRPr="00EB0252" w:rsidRDefault="009452CC" w:rsidP="00EE6E95">
      <w:pPr>
        <w:spacing w:after="0" w:line="240" w:lineRule="auto"/>
        <w:jc w:val="both"/>
        <w:rPr>
          <w:rFonts w:ascii="Arial" w:hAnsi="Arial" w:cs="Arial"/>
          <w:b/>
          <w:bCs/>
        </w:rPr>
      </w:pPr>
    </w:p>
    <w:p w14:paraId="493E60E2" w14:textId="77777777" w:rsidR="009452CC" w:rsidRPr="00EB0252" w:rsidRDefault="009452CC" w:rsidP="00EE6E95">
      <w:pPr>
        <w:spacing w:after="0" w:line="240" w:lineRule="auto"/>
        <w:jc w:val="both"/>
        <w:rPr>
          <w:rFonts w:ascii="Arial" w:hAnsi="Arial" w:cs="Arial"/>
          <w:b/>
          <w:bCs/>
        </w:rPr>
      </w:pPr>
    </w:p>
    <w:p w14:paraId="1A7FFAF7" w14:textId="77777777" w:rsidR="009452CC" w:rsidRPr="00EB0252" w:rsidRDefault="009452CC" w:rsidP="00EE6E95">
      <w:pPr>
        <w:spacing w:after="0" w:line="240" w:lineRule="auto"/>
        <w:jc w:val="both"/>
        <w:rPr>
          <w:rFonts w:ascii="Arial" w:hAnsi="Arial" w:cs="Arial"/>
          <w:b/>
          <w:bCs/>
        </w:rPr>
      </w:pPr>
    </w:p>
    <w:p w14:paraId="2F27733C" w14:textId="1DFC3FC1" w:rsidR="009452CC" w:rsidRDefault="00193955" w:rsidP="00EE6E95">
      <w:pPr>
        <w:spacing w:after="0" w:line="240" w:lineRule="auto"/>
        <w:jc w:val="both"/>
        <w:rPr>
          <w:rFonts w:ascii="Arial" w:hAnsi="Arial" w:cs="Arial"/>
          <w:b/>
          <w:bCs/>
          <w:sz w:val="24"/>
          <w:szCs w:val="24"/>
        </w:rPr>
      </w:pPr>
      <w:r>
        <w:rPr>
          <w:noProof/>
        </w:rPr>
        <w:drawing>
          <wp:anchor distT="0" distB="0" distL="114300" distR="114300" simplePos="0" relativeHeight="251659264" behindDoc="1" locked="0" layoutInCell="1" allowOverlap="1" wp14:anchorId="405E97B2" wp14:editId="71268B0E">
            <wp:simplePos x="0" y="0"/>
            <wp:positionH relativeFrom="page">
              <wp:align>left</wp:align>
            </wp:positionH>
            <wp:positionV relativeFrom="paragraph">
              <wp:posOffset>-1268380</wp:posOffset>
            </wp:positionV>
            <wp:extent cx="7655442" cy="10029825"/>
            <wp:effectExtent l="0" t="0" r="3175" b="0"/>
            <wp:wrapNone/>
            <wp:docPr id="9730616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55442" cy="10029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B97215" w14:textId="153E9C3B" w:rsidR="009452CC" w:rsidRDefault="009452CC" w:rsidP="00EE6E95">
      <w:pPr>
        <w:spacing w:after="0" w:line="240" w:lineRule="auto"/>
        <w:jc w:val="both"/>
        <w:rPr>
          <w:rFonts w:ascii="Arial" w:hAnsi="Arial" w:cs="Arial"/>
          <w:b/>
          <w:bCs/>
          <w:sz w:val="24"/>
          <w:szCs w:val="24"/>
        </w:rPr>
      </w:pPr>
    </w:p>
    <w:p w14:paraId="3B7CB81A" w14:textId="24BE332A" w:rsidR="009452CC" w:rsidRDefault="009452CC" w:rsidP="00EE6E95">
      <w:pPr>
        <w:spacing w:after="0" w:line="240" w:lineRule="auto"/>
        <w:jc w:val="both"/>
        <w:rPr>
          <w:rFonts w:ascii="Arial" w:hAnsi="Arial" w:cs="Arial"/>
          <w:b/>
          <w:bCs/>
          <w:sz w:val="24"/>
          <w:szCs w:val="24"/>
        </w:rPr>
      </w:pPr>
    </w:p>
    <w:sectPr w:rsidR="009452CC" w:rsidSect="00F32602">
      <w:headerReference w:type="default" r:id="rId20"/>
      <w:footerReference w:type="default" r:id="rId21"/>
      <w:pgSz w:w="12240" w:h="15840"/>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59FB" w14:textId="77777777" w:rsidR="00580652" w:rsidRPr="00752D17" w:rsidRDefault="00580652" w:rsidP="006526DF">
      <w:pPr>
        <w:spacing w:after="0" w:line="240" w:lineRule="auto"/>
      </w:pPr>
      <w:r w:rsidRPr="00752D17">
        <w:separator/>
      </w:r>
    </w:p>
  </w:endnote>
  <w:endnote w:type="continuationSeparator" w:id="0">
    <w:p w14:paraId="7C961C71" w14:textId="77777777" w:rsidR="00580652" w:rsidRPr="00752D17" w:rsidRDefault="00580652"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altName w:val="Calibri"/>
    <w:charset w:val="00"/>
    <w:family w:val="auto"/>
    <w:pitch w:val="variable"/>
    <w:sig w:usb0="A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7D08" w14:textId="4638245B" w:rsidR="00131A5A" w:rsidRDefault="00131A5A" w:rsidP="00131A5A">
    <w:pPr>
      <w:pStyle w:val="Piedepgina"/>
      <w:rPr>
        <w:rFonts w:ascii="HendersonSansW00-BasicLight" w:hAnsi="HendersonSansW00-BasicLight" w:cstheme="minorHAnsi"/>
        <w:sz w:val="18"/>
        <w:szCs w:val="18"/>
      </w:rPr>
    </w:pPr>
  </w:p>
  <w:p w14:paraId="5337FDDC" w14:textId="72D79CBC" w:rsidR="00131A5A" w:rsidRDefault="002A4C79" w:rsidP="00131A5A">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212F1B" id="Conector recto 1"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5pt,9.35pt" to="434.9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strokecolor="#192952" strokeweight=".5pt">
              <v:stroke joinstyle="miter"/>
              <w10:wrap anchorx="margin"/>
            </v:line>
          </w:pict>
        </mc:Fallback>
      </mc:AlternateContent>
    </w:r>
  </w:p>
  <w:p w14:paraId="0184572D" w14:textId="07E639AA" w:rsidR="00710213" w:rsidRPr="00C00FFF" w:rsidRDefault="00710213" w:rsidP="00710213">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14:paraId="4D10FCA3" w14:textId="77777777" w:rsidR="00710213" w:rsidRPr="00C00FFF" w:rsidRDefault="00710213" w:rsidP="00710213">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14:paraId="49CDD47A" w14:textId="7566BD98" w:rsidR="006526DF" w:rsidRPr="002A4C79" w:rsidRDefault="006526DF" w:rsidP="00710213">
    <w:pPr>
      <w:pStyle w:val="Piedepgina"/>
      <w:jc w:val="center"/>
      <w:rPr>
        <w:rFonts w:ascii="Verdana" w:hAnsi="Verdana" w:cstheme="minorHAnsi"/>
        <w:color w:val="0563C1" w:themeColor="hyperlink"/>
        <w:sz w:val="24"/>
        <w:szCs w:val="24"/>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61160" w14:textId="77777777" w:rsidR="00580652" w:rsidRPr="00752D17" w:rsidRDefault="00580652" w:rsidP="006526DF">
      <w:pPr>
        <w:spacing w:after="0" w:line="240" w:lineRule="auto"/>
      </w:pPr>
      <w:r w:rsidRPr="00752D17">
        <w:separator/>
      </w:r>
    </w:p>
  </w:footnote>
  <w:footnote w:type="continuationSeparator" w:id="0">
    <w:p w14:paraId="002C6846" w14:textId="77777777" w:rsidR="00580652" w:rsidRPr="00752D17" w:rsidRDefault="00580652"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EEA4" w14:textId="5B053CF2" w:rsidR="00131A5A" w:rsidRDefault="009B4F01">
    <w:pPr>
      <w:pStyle w:val="Encabezado"/>
      <w:rPr>
        <w:noProof/>
      </w:rPr>
    </w:pPr>
    <w:r w:rsidRPr="00752D17">
      <w:rPr>
        <w:noProof/>
      </w:rPr>
      <mc:AlternateContent>
        <mc:Choice Requires="wps">
          <w:drawing>
            <wp:anchor distT="0" distB="0" distL="114300" distR="114300" simplePos="0" relativeHeight="251684864" behindDoc="0" locked="0" layoutInCell="1" allowOverlap="1" wp14:anchorId="454DC6AE" wp14:editId="3D0DC37B">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DC6AE" id="Rectángulo 3" o:spid="_x0000_s1026"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filled="f" stroked="f" strokeweight="1pt">
              <v:textbo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r>
      <w:rPr>
        <w:noProof/>
        <w14:ligatures w14:val="standardContextual"/>
      </w:rPr>
      <w:drawing>
        <wp:anchor distT="0" distB="0" distL="114300" distR="114300" simplePos="0" relativeHeight="251682816" behindDoc="1" locked="0" layoutInCell="1" allowOverlap="1" wp14:anchorId="722644BE" wp14:editId="17A543C3">
          <wp:simplePos x="0" y="0"/>
          <wp:positionH relativeFrom="column">
            <wp:posOffset>-1112520</wp:posOffset>
          </wp:positionH>
          <wp:positionV relativeFrom="page">
            <wp:posOffset>-8255</wp:posOffset>
          </wp:positionV>
          <wp:extent cx="7750598" cy="10029825"/>
          <wp:effectExtent l="0" t="0" r="3175"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0598" cy="10029825"/>
                  </a:xfrm>
                  <a:prstGeom prst="rect">
                    <a:avLst/>
                  </a:prstGeom>
                </pic:spPr>
              </pic:pic>
            </a:graphicData>
          </a:graphic>
          <wp14:sizeRelH relativeFrom="margin">
            <wp14:pctWidth>0</wp14:pctWidth>
          </wp14:sizeRelH>
          <wp14:sizeRelV relativeFrom="margin">
            <wp14:pctHeight>0</wp14:pctHeight>
          </wp14:sizeRelV>
        </wp:anchor>
      </w:drawing>
    </w:r>
  </w:p>
  <w:p w14:paraId="0400299A" w14:textId="308C395B" w:rsidR="00AE049E" w:rsidRDefault="00AE049E">
    <w:pPr>
      <w:pStyle w:val="Encabezado"/>
    </w:pPr>
  </w:p>
  <w:p w14:paraId="0899CCA5" w14:textId="6E7ED83C" w:rsidR="006526DF" w:rsidRDefault="006526DF">
    <w:pPr>
      <w:pStyle w:val="Encabezado"/>
    </w:pPr>
  </w:p>
  <w:p w14:paraId="362352EA" w14:textId="3773C032" w:rsidR="00C95564" w:rsidRPr="00752D17" w:rsidRDefault="00C95564" w:rsidP="003122EE">
    <w:pPr>
      <w:pStyle w:val="Piedepgina"/>
      <w:jc w:val="center"/>
    </w:pPr>
    <w:r>
      <w:tab/>
    </w:r>
    <w:r>
      <w:tab/>
    </w:r>
  </w:p>
  <w:p w14:paraId="43AC0611" w14:textId="1B18F403" w:rsidR="00057B1F" w:rsidRPr="00752D17" w:rsidRDefault="00C95564" w:rsidP="008C6777">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3379"/>
    <w:multiLevelType w:val="multilevel"/>
    <w:tmpl w:val="ADE6C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FA4472"/>
    <w:multiLevelType w:val="multilevel"/>
    <w:tmpl w:val="01FCA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A4699B"/>
    <w:multiLevelType w:val="hybridMultilevel"/>
    <w:tmpl w:val="81A035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4DA004A"/>
    <w:multiLevelType w:val="multilevel"/>
    <w:tmpl w:val="715A1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EC5297"/>
    <w:multiLevelType w:val="multilevel"/>
    <w:tmpl w:val="69E26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543030"/>
    <w:multiLevelType w:val="multilevel"/>
    <w:tmpl w:val="B47EB1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790426"/>
    <w:multiLevelType w:val="hybridMultilevel"/>
    <w:tmpl w:val="B6DA679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7" w15:restartNumberingAfterBreak="0">
    <w:nsid w:val="36E35C20"/>
    <w:multiLevelType w:val="hybridMultilevel"/>
    <w:tmpl w:val="E5B85860"/>
    <w:lvl w:ilvl="0" w:tplc="3EE6674A">
      <w:start w:val="1"/>
      <w:numFmt w:val="decimal"/>
      <w:lvlText w:val="%1-"/>
      <w:lvlJc w:val="left"/>
      <w:pPr>
        <w:ind w:left="72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8" w15:restartNumberingAfterBreak="0">
    <w:nsid w:val="384A31EC"/>
    <w:multiLevelType w:val="multilevel"/>
    <w:tmpl w:val="B4409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77461B8"/>
    <w:multiLevelType w:val="multilevel"/>
    <w:tmpl w:val="27A09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AC3420"/>
    <w:multiLevelType w:val="hybridMultilevel"/>
    <w:tmpl w:val="77B857C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16cid:durableId="1713572385">
    <w:abstractNumId w:val="6"/>
  </w:num>
  <w:num w:numId="2" w16cid:durableId="289484402">
    <w:abstractNumId w:val="10"/>
  </w:num>
  <w:num w:numId="3" w16cid:durableId="739717380">
    <w:abstractNumId w:val="7"/>
  </w:num>
  <w:num w:numId="4" w16cid:durableId="1015377533">
    <w:abstractNumId w:val="2"/>
  </w:num>
  <w:num w:numId="5" w16cid:durableId="1968657124">
    <w:abstractNumId w:val="5"/>
  </w:num>
  <w:num w:numId="6" w16cid:durableId="308099466">
    <w:abstractNumId w:val="4"/>
  </w:num>
  <w:num w:numId="7" w16cid:durableId="2055687515">
    <w:abstractNumId w:val="1"/>
  </w:num>
  <w:num w:numId="8" w16cid:durableId="574440622">
    <w:abstractNumId w:val="9"/>
  </w:num>
  <w:num w:numId="9" w16cid:durableId="138966522">
    <w:abstractNumId w:val="0"/>
  </w:num>
  <w:num w:numId="10" w16cid:durableId="702023381">
    <w:abstractNumId w:val="3"/>
  </w:num>
  <w:num w:numId="11" w16cid:durableId="14339701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65EF"/>
    <w:rsid w:val="000117F0"/>
    <w:rsid w:val="000205E4"/>
    <w:rsid w:val="0002322A"/>
    <w:rsid w:val="00057B1F"/>
    <w:rsid w:val="00060E20"/>
    <w:rsid w:val="000632DB"/>
    <w:rsid w:val="00064934"/>
    <w:rsid w:val="00066FF4"/>
    <w:rsid w:val="00070021"/>
    <w:rsid w:val="00071996"/>
    <w:rsid w:val="000806AF"/>
    <w:rsid w:val="000832D1"/>
    <w:rsid w:val="00095B3C"/>
    <w:rsid w:val="000A1243"/>
    <w:rsid w:val="000B40FF"/>
    <w:rsid w:val="000B77F0"/>
    <w:rsid w:val="000C641D"/>
    <w:rsid w:val="000D2C35"/>
    <w:rsid w:val="000E157E"/>
    <w:rsid w:val="000E7888"/>
    <w:rsid w:val="000F3CED"/>
    <w:rsid w:val="001034F1"/>
    <w:rsid w:val="001149DC"/>
    <w:rsid w:val="00131446"/>
    <w:rsid w:val="00131A5A"/>
    <w:rsid w:val="00134143"/>
    <w:rsid w:val="00137B19"/>
    <w:rsid w:val="00140D11"/>
    <w:rsid w:val="0014775A"/>
    <w:rsid w:val="00166DEC"/>
    <w:rsid w:val="0017134C"/>
    <w:rsid w:val="00173863"/>
    <w:rsid w:val="00175B0E"/>
    <w:rsid w:val="00191364"/>
    <w:rsid w:val="00192FED"/>
    <w:rsid w:val="00193955"/>
    <w:rsid w:val="00193ABE"/>
    <w:rsid w:val="0019737D"/>
    <w:rsid w:val="001B38C4"/>
    <w:rsid w:val="001C0031"/>
    <w:rsid w:val="001C7A3B"/>
    <w:rsid w:val="001E6BCD"/>
    <w:rsid w:val="001E7049"/>
    <w:rsid w:val="001F18DC"/>
    <w:rsid w:val="001F206F"/>
    <w:rsid w:val="001F29D2"/>
    <w:rsid w:val="002070CA"/>
    <w:rsid w:val="0023523E"/>
    <w:rsid w:val="002412F7"/>
    <w:rsid w:val="00252F1F"/>
    <w:rsid w:val="00262572"/>
    <w:rsid w:val="00264D56"/>
    <w:rsid w:val="0028260D"/>
    <w:rsid w:val="002921EB"/>
    <w:rsid w:val="002A14DD"/>
    <w:rsid w:val="002A4C79"/>
    <w:rsid w:val="002A576E"/>
    <w:rsid w:val="002C1A85"/>
    <w:rsid w:val="002D4E64"/>
    <w:rsid w:val="002E1DF2"/>
    <w:rsid w:val="002E3D05"/>
    <w:rsid w:val="002E5E0C"/>
    <w:rsid w:val="002F1DDB"/>
    <w:rsid w:val="002F44A7"/>
    <w:rsid w:val="002F5863"/>
    <w:rsid w:val="003122EE"/>
    <w:rsid w:val="00354916"/>
    <w:rsid w:val="00357CF4"/>
    <w:rsid w:val="0036316D"/>
    <w:rsid w:val="00396A17"/>
    <w:rsid w:val="003A26B6"/>
    <w:rsid w:val="003C37FA"/>
    <w:rsid w:val="003C59F0"/>
    <w:rsid w:val="003D4638"/>
    <w:rsid w:val="003D74A3"/>
    <w:rsid w:val="003E38BF"/>
    <w:rsid w:val="003F034A"/>
    <w:rsid w:val="00410C4D"/>
    <w:rsid w:val="00415BC2"/>
    <w:rsid w:val="00421CA1"/>
    <w:rsid w:val="00430CBD"/>
    <w:rsid w:val="00433E38"/>
    <w:rsid w:val="004341AE"/>
    <w:rsid w:val="0044288F"/>
    <w:rsid w:val="00442BD2"/>
    <w:rsid w:val="004576DA"/>
    <w:rsid w:val="00465BDC"/>
    <w:rsid w:val="004670EF"/>
    <w:rsid w:val="00467818"/>
    <w:rsid w:val="00472CC9"/>
    <w:rsid w:val="00480259"/>
    <w:rsid w:val="00482A9B"/>
    <w:rsid w:val="00483E89"/>
    <w:rsid w:val="004A2A14"/>
    <w:rsid w:val="004B24BD"/>
    <w:rsid w:val="004D0074"/>
    <w:rsid w:val="004D28DD"/>
    <w:rsid w:val="0050063E"/>
    <w:rsid w:val="0050077D"/>
    <w:rsid w:val="0051244E"/>
    <w:rsid w:val="0051610D"/>
    <w:rsid w:val="00517998"/>
    <w:rsid w:val="00521BFF"/>
    <w:rsid w:val="00541D9B"/>
    <w:rsid w:val="00564072"/>
    <w:rsid w:val="005664EE"/>
    <w:rsid w:val="00571AF1"/>
    <w:rsid w:val="00575B83"/>
    <w:rsid w:val="0057615A"/>
    <w:rsid w:val="00577638"/>
    <w:rsid w:val="00577B69"/>
    <w:rsid w:val="00580652"/>
    <w:rsid w:val="00587CCD"/>
    <w:rsid w:val="005918BF"/>
    <w:rsid w:val="005940AE"/>
    <w:rsid w:val="005969FD"/>
    <w:rsid w:val="005A1875"/>
    <w:rsid w:val="005A3232"/>
    <w:rsid w:val="005A60DF"/>
    <w:rsid w:val="005B0EBF"/>
    <w:rsid w:val="005D354B"/>
    <w:rsid w:val="005D3B06"/>
    <w:rsid w:val="005D420E"/>
    <w:rsid w:val="005F7E9D"/>
    <w:rsid w:val="00607503"/>
    <w:rsid w:val="00613B25"/>
    <w:rsid w:val="0064068E"/>
    <w:rsid w:val="0064121E"/>
    <w:rsid w:val="00642B74"/>
    <w:rsid w:val="006526DF"/>
    <w:rsid w:val="00661FC5"/>
    <w:rsid w:val="00664544"/>
    <w:rsid w:val="00667B33"/>
    <w:rsid w:val="00671B08"/>
    <w:rsid w:val="006731FA"/>
    <w:rsid w:val="0068700A"/>
    <w:rsid w:val="00692D9B"/>
    <w:rsid w:val="006A15C9"/>
    <w:rsid w:val="006E0A0F"/>
    <w:rsid w:val="006E0E70"/>
    <w:rsid w:val="006E5899"/>
    <w:rsid w:val="006E73ED"/>
    <w:rsid w:val="006F1562"/>
    <w:rsid w:val="006F79AA"/>
    <w:rsid w:val="00710213"/>
    <w:rsid w:val="00711925"/>
    <w:rsid w:val="007135BD"/>
    <w:rsid w:val="0071745B"/>
    <w:rsid w:val="007200EB"/>
    <w:rsid w:val="00731FF9"/>
    <w:rsid w:val="007352A4"/>
    <w:rsid w:val="007353E2"/>
    <w:rsid w:val="00746387"/>
    <w:rsid w:val="00746EE0"/>
    <w:rsid w:val="00752D17"/>
    <w:rsid w:val="00752E43"/>
    <w:rsid w:val="0075598E"/>
    <w:rsid w:val="00777157"/>
    <w:rsid w:val="007845CC"/>
    <w:rsid w:val="00791E8D"/>
    <w:rsid w:val="007A128C"/>
    <w:rsid w:val="007B15D4"/>
    <w:rsid w:val="007B1A5B"/>
    <w:rsid w:val="007D06AA"/>
    <w:rsid w:val="007D6F23"/>
    <w:rsid w:val="007E08FC"/>
    <w:rsid w:val="007E7788"/>
    <w:rsid w:val="007F515F"/>
    <w:rsid w:val="007F74F0"/>
    <w:rsid w:val="008001E3"/>
    <w:rsid w:val="008017D7"/>
    <w:rsid w:val="00801D12"/>
    <w:rsid w:val="0080292F"/>
    <w:rsid w:val="00805B0F"/>
    <w:rsid w:val="00810D45"/>
    <w:rsid w:val="0081684B"/>
    <w:rsid w:val="00825B7E"/>
    <w:rsid w:val="008271E3"/>
    <w:rsid w:val="00842703"/>
    <w:rsid w:val="008458B5"/>
    <w:rsid w:val="008474A6"/>
    <w:rsid w:val="0085530D"/>
    <w:rsid w:val="00855C65"/>
    <w:rsid w:val="00855DE7"/>
    <w:rsid w:val="0086165B"/>
    <w:rsid w:val="0088292F"/>
    <w:rsid w:val="00884AA6"/>
    <w:rsid w:val="008A2170"/>
    <w:rsid w:val="008A43EE"/>
    <w:rsid w:val="008A7578"/>
    <w:rsid w:val="008B5D32"/>
    <w:rsid w:val="008C6777"/>
    <w:rsid w:val="008D64D1"/>
    <w:rsid w:val="008E548C"/>
    <w:rsid w:val="008E6C72"/>
    <w:rsid w:val="008F7E15"/>
    <w:rsid w:val="00930424"/>
    <w:rsid w:val="00937FB0"/>
    <w:rsid w:val="009452CC"/>
    <w:rsid w:val="00947E7B"/>
    <w:rsid w:val="0096177B"/>
    <w:rsid w:val="00961C15"/>
    <w:rsid w:val="009627F9"/>
    <w:rsid w:val="00963123"/>
    <w:rsid w:val="009650F0"/>
    <w:rsid w:val="00976F53"/>
    <w:rsid w:val="00977E0D"/>
    <w:rsid w:val="009A2925"/>
    <w:rsid w:val="009A5158"/>
    <w:rsid w:val="009B4F01"/>
    <w:rsid w:val="009C1F4A"/>
    <w:rsid w:val="009D2F90"/>
    <w:rsid w:val="009D3595"/>
    <w:rsid w:val="009D3A99"/>
    <w:rsid w:val="009E2564"/>
    <w:rsid w:val="009E25F8"/>
    <w:rsid w:val="009F3845"/>
    <w:rsid w:val="009F4C98"/>
    <w:rsid w:val="009F62CF"/>
    <w:rsid w:val="00A026FE"/>
    <w:rsid w:val="00A028FA"/>
    <w:rsid w:val="00A23601"/>
    <w:rsid w:val="00A25F40"/>
    <w:rsid w:val="00A51CE9"/>
    <w:rsid w:val="00A56E9E"/>
    <w:rsid w:val="00AB59B2"/>
    <w:rsid w:val="00AC5898"/>
    <w:rsid w:val="00AE049E"/>
    <w:rsid w:val="00AE22CA"/>
    <w:rsid w:val="00AE2596"/>
    <w:rsid w:val="00AE2FB6"/>
    <w:rsid w:val="00AE3B45"/>
    <w:rsid w:val="00AF0CE6"/>
    <w:rsid w:val="00B338FE"/>
    <w:rsid w:val="00B40428"/>
    <w:rsid w:val="00B66DF1"/>
    <w:rsid w:val="00B671C3"/>
    <w:rsid w:val="00B953FB"/>
    <w:rsid w:val="00BC5BA4"/>
    <w:rsid w:val="00BC75F6"/>
    <w:rsid w:val="00BD5FCB"/>
    <w:rsid w:val="00BE5A74"/>
    <w:rsid w:val="00BE7E3E"/>
    <w:rsid w:val="00C02193"/>
    <w:rsid w:val="00C05E1C"/>
    <w:rsid w:val="00C303E8"/>
    <w:rsid w:val="00C31649"/>
    <w:rsid w:val="00C43747"/>
    <w:rsid w:val="00C543B4"/>
    <w:rsid w:val="00C6620D"/>
    <w:rsid w:val="00C671C8"/>
    <w:rsid w:val="00C743E1"/>
    <w:rsid w:val="00C8392F"/>
    <w:rsid w:val="00C95564"/>
    <w:rsid w:val="00CA130B"/>
    <w:rsid w:val="00CA2D4E"/>
    <w:rsid w:val="00CA31A9"/>
    <w:rsid w:val="00CB2ACD"/>
    <w:rsid w:val="00CC3E5D"/>
    <w:rsid w:val="00CC721E"/>
    <w:rsid w:val="00CF3848"/>
    <w:rsid w:val="00D16910"/>
    <w:rsid w:val="00D25205"/>
    <w:rsid w:val="00D366E5"/>
    <w:rsid w:val="00D51ABB"/>
    <w:rsid w:val="00D54ABF"/>
    <w:rsid w:val="00D635B5"/>
    <w:rsid w:val="00D815D9"/>
    <w:rsid w:val="00D841EA"/>
    <w:rsid w:val="00D921FA"/>
    <w:rsid w:val="00D952DB"/>
    <w:rsid w:val="00DA69D9"/>
    <w:rsid w:val="00DB0BFF"/>
    <w:rsid w:val="00DC0EEB"/>
    <w:rsid w:val="00DD0FFD"/>
    <w:rsid w:val="00DE3855"/>
    <w:rsid w:val="00DE5CAA"/>
    <w:rsid w:val="00DF1781"/>
    <w:rsid w:val="00DF46AE"/>
    <w:rsid w:val="00E148B8"/>
    <w:rsid w:val="00E23AB4"/>
    <w:rsid w:val="00E307A1"/>
    <w:rsid w:val="00E3167D"/>
    <w:rsid w:val="00E4209A"/>
    <w:rsid w:val="00E6271E"/>
    <w:rsid w:val="00E63ED0"/>
    <w:rsid w:val="00E81DF4"/>
    <w:rsid w:val="00E84A0C"/>
    <w:rsid w:val="00EA33A1"/>
    <w:rsid w:val="00EA575C"/>
    <w:rsid w:val="00EB0252"/>
    <w:rsid w:val="00EC15D9"/>
    <w:rsid w:val="00EC202F"/>
    <w:rsid w:val="00EC3092"/>
    <w:rsid w:val="00EC4AB4"/>
    <w:rsid w:val="00EE6E95"/>
    <w:rsid w:val="00EF4AAA"/>
    <w:rsid w:val="00EF5E6A"/>
    <w:rsid w:val="00F03DAC"/>
    <w:rsid w:val="00F15C99"/>
    <w:rsid w:val="00F16B31"/>
    <w:rsid w:val="00F17B14"/>
    <w:rsid w:val="00F2005E"/>
    <w:rsid w:val="00F236C4"/>
    <w:rsid w:val="00F237F5"/>
    <w:rsid w:val="00F32602"/>
    <w:rsid w:val="00F346D1"/>
    <w:rsid w:val="00F55B33"/>
    <w:rsid w:val="00F749C5"/>
    <w:rsid w:val="00F84485"/>
    <w:rsid w:val="00F969F4"/>
    <w:rsid w:val="00FA6D3B"/>
    <w:rsid w:val="00FB0BE3"/>
    <w:rsid w:val="00FC0A2B"/>
    <w:rsid w:val="00FD1B58"/>
    <w:rsid w:val="00FD6CFE"/>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0F0"/>
    <w:rPr>
      <w:kern w:val="0"/>
      <w14:ligatures w14:val="none"/>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BE7E3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customStyle="1" w:styleId="PrrafodelistaCar">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34"/>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customStyle="1" w:styleId="ui-provider">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rsid w:val="00F237F5"/>
    <w:rPr>
      <w:rFonts w:asciiTheme="majorHAnsi" w:eastAsiaTheme="majorEastAsia" w:hAnsiTheme="majorHAnsi" w:cstheme="majorBidi"/>
      <w:color w:val="2F5496" w:themeColor="accent1" w:themeShade="BF"/>
      <w:kern w:val="0"/>
      <w:sz w:val="32"/>
      <w:szCs w:val="32"/>
      <w14:ligatures w14:val="none"/>
    </w:rPr>
  </w:style>
  <w:style w:type="character" w:customStyle="1" w:styleId="Ttulo3Car">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customStyle="1" w:styleId="Ttulo4Car">
    <w:name w:val="Título 4 Car"/>
    <w:basedOn w:val="Fuentedeprrafopredeter"/>
    <w:link w:val="Ttulo4"/>
    <w:uiPriority w:val="9"/>
    <w:semiHidden/>
    <w:rsid w:val="00BE7E3E"/>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p.go.cr/educatico/clasificacion-compuestos-binarios" TargetMode="External"/><Relationship Id="rId13" Type="http://schemas.openxmlformats.org/officeDocument/2006/relationships/hyperlink" Target="https://artsexperiments.withgoogle.com/periodic-table/?exp=true&amp;lang=es" TargetMode="External"/><Relationship Id="rId1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www.mep.go.cr/educatico/tabla-periodica-generalidades" TargetMode="External"/><Relationship Id="rId17" Type="http://schemas.openxmlformats.org/officeDocument/2006/relationships/hyperlink" Target="https://phet.colorado.edu/es/simulations/filter?subjects=chemistry&amp;type=html" TargetMode="External"/><Relationship Id="rId2" Type="http://schemas.openxmlformats.org/officeDocument/2006/relationships/styles" Target="styles.xml"/><Relationship Id="rId16" Type="http://schemas.openxmlformats.org/officeDocument/2006/relationships/hyperlink" Target="https://www.mep.go.cr/educatico?texto-recursos-todos=Qu%C3%ADmica&amp;audiencia=All&amp;materia=5991&amp;nivel=5961"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rendizup.mep.go.cr/" TargetMode="External"/><Relationship Id="rId5" Type="http://schemas.openxmlformats.org/officeDocument/2006/relationships/footnotes" Target="footnotes.xml"/><Relationship Id="rId15" Type="http://schemas.openxmlformats.org/officeDocument/2006/relationships/hyperlink" Target="https://artsexperiments.withgoogle.com/periodic-table/?exp=true&amp;lang=es" TargetMode="External"/><Relationship Id="rId23" Type="http://schemas.openxmlformats.org/officeDocument/2006/relationships/theme" Target="theme/theme1.xml"/><Relationship Id="rId10" Type="http://schemas.openxmlformats.org/officeDocument/2006/relationships/hyperlink" Target="https://www.mep.go.cr/educatico/clasificacion-compuestos-binarios"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www.mep.go.cr/educatico/clasificacion-compuestos-binarios" TargetMode="External"/><Relationship Id="rId14" Type="http://schemas.openxmlformats.org/officeDocument/2006/relationships/hyperlink" Target="https://artsexperiments.withgoogle.com/periodic-table/?exp=true&amp;lang=e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1735</Words>
  <Characters>9543</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Shirley Guillen Monge</cp:lastModifiedBy>
  <cp:revision>32</cp:revision>
  <cp:lastPrinted>2026-06-17T21:41:00Z</cp:lastPrinted>
  <dcterms:created xsi:type="dcterms:W3CDTF">2026-06-17T17:43:00Z</dcterms:created>
  <dcterms:modified xsi:type="dcterms:W3CDTF">2026-06-17T22:30:00Z</dcterms:modified>
</cp:coreProperties>
</file>